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EEB7B" w14:textId="77777777" w:rsidR="00E93873" w:rsidRDefault="00E93873" w:rsidP="00E93873">
      <w:pPr>
        <w:pStyle w:val="Titolo1"/>
        <w:jc w:val="center"/>
        <w:rPr>
          <w:rFonts w:ascii="PT Serif" w:hAnsi="PT Serif"/>
          <w:b/>
          <w:bCs/>
          <w:color w:val="auto"/>
          <w:sz w:val="32"/>
          <w:szCs w:val="32"/>
        </w:rPr>
      </w:pPr>
      <w:bookmarkStart w:id="0" w:name="_Toc232670990"/>
      <w:r w:rsidRPr="00E93873">
        <w:rPr>
          <w:rFonts w:ascii="PT Serif" w:hAnsi="PT Serif"/>
          <w:b/>
          <w:bCs/>
          <w:color w:val="auto"/>
          <w:sz w:val="32"/>
          <w:szCs w:val="32"/>
        </w:rPr>
        <w:t>Allegato 1</w:t>
      </w:r>
      <w:bookmarkEnd w:id="0"/>
    </w:p>
    <w:p w14:paraId="3DCE0040" w14:textId="49CEE336" w:rsidR="00E006A3" w:rsidRPr="00E006A3" w:rsidRDefault="00E006A3" w:rsidP="00E006A3">
      <w:pPr>
        <w:jc w:val="center"/>
        <w:rPr>
          <w:rFonts w:ascii="PT Serif" w:hAnsi="PT Serif" w:cs="Times New Roman"/>
          <w:b/>
          <w:bCs/>
          <w:smallCaps/>
          <w:color w:val="000000"/>
          <w:sz w:val="28"/>
          <w:szCs w:val="28"/>
        </w:rPr>
      </w:pPr>
      <w:r w:rsidRPr="00E006A3">
        <w:rPr>
          <w:rFonts w:ascii="PT Serif" w:hAnsi="PT Serif" w:cs="Times New Roman"/>
          <w:b/>
          <w:bCs/>
          <w:smallCaps/>
          <w:color w:val="000000"/>
          <w:sz w:val="28"/>
          <w:szCs w:val="28"/>
        </w:rPr>
        <w:t>Quesiti</w:t>
      </w:r>
    </w:p>
    <w:p w14:paraId="484CCA97" w14:textId="39936B3A" w:rsidR="00E93873" w:rsidRPr="00004A37" w:rsidRDefault="00004A37" w:rsidP="00E93873">
      <w:pPr>
        <w:autoSpaceDE w:val="0"/>
        <w:autoSpaceDN w:val="0"/>
        <w:adjustRightInd w:val="0"/>
        <w:spacing w:after="0"/>
        <w:jc w:val="center"/>
        <w:rPr>
          <w:rFonts w:ascii="PT Serif" w:hAnsi="PT Serif" w:cs="Times New Roman"/>
          <w:b/>
          <w:bCs/>
          <w:color w:val="000000"/>
          <w:sz w:val="24"/>
          <w:szCs w:val="24"/>
        </w:rPr>
      </w:pPr>
      <w:r>
        <w:rPr>
          <w:rFonts w:ascii="PT Serif" w:hAnsi="PT Serif" w:cs="Times New Roman"/>
          <w:b/>
          <w:bCs/>
          <w:color w:val="000000"/>
          <w:sz w:val="24"/>
          <w:szCs w:val="24"/>
        </w:rPr>
        <w:t>P</w:t>
      </w:r>
      <w:r w:rsidRPr="00004A37">
        <w:rPr>
          <w:rFonts w:ascii="PT Serif" w:hAnsi="PT Serif" w:cs="Times New Roman"/>
          <w:b/>
          <w:bCs/>
          <w:color w:val="000000"/>
          <w:sz w:val="24"/>
          <w:szCs w:val="24"/>
        </w:rPr>
        <w:t xml:space="preserve">roposte di modifica dei regolamenti in materia di emittenti, intermediari e mercati, per l’adeguamento al </w:t>
      </w:r>
      <w:r w:rsidRPr="00004A37">
        <w:rPr>
          <w:rFonts w:ascii="PT Serif" w:hAnsi="PT Serif" w:cs="Times New Roman"/>
          <w:b/>
          <w:bCs/>
          <w:i/>
          <w:iCs/>
          <w:color w:val="000000"/>
          <w:sz w:val="24"/>
          <w:szCs w:val="24"/>
        </w:rPr>
        <w:t>listing act</w:t>
      </w:r>
      <w:r w:rsidRPr="00004A37">
        <w:rPr>
          <w:rFonts w:ascii="PT Serif" w:hAnsi="PT Serif" w:cs="Times New Roman"/>
          <w:b/>
          <w:bCs/>
          <w:color w:val="000000"/>
          <w:sz w:val="24"/>
          <w:szCs w:val="24"/>
        </w:rPr>
        <w:t xml:space="preserve"> e per l’adeguamento alle modifiche in materia di opa derivanti dal d.lgs. 47/2026 </w:t>
      </w:r>
    </w:p>
    <w:p w14:paraId="4504D4D4" w14:textId="77777777" w:rsidR="00E93873" w:rsidRPr="00E93873" w:rsidRDefault="00E93873" w:rsidP="00E93873">
      <w:pPr>
        <w:autoSpaceDE w:val="0"/>
        <w:autoSpaceDN w:val="0"/>
        <w:adjustRightInd w:val="0"/>
        <w:spacing w:after="0"/>
        <w:jc w:val="center"/>
        <w:rPr>
          <w:rFonts w:ascii="PT Serif" w:hAnsi="PT Serif" w:cs="Times New Roman"/>
          <w:b/>
          <w:bCs/>
          <w:smallCaps/>
          <w:color w:val="000000"/>
          <w:sz w:val="20"/>
          <w:szCs w:val="20"/>
        </w:rPr>
      </w:pPr>
    </w:p>
    <w:p w14:paraId="656597EA" w14:textId="77777777" w:rsidR="00E93873" w:rsidRPr="00E93873" w:rsidRDefault="00E93873" w:rsidP="00E93873">
      <w:pPr>
        <w:autoSpaceDE w:val="0"/>
        <w:autoSpaceDN w:val="0"/>
        <w:adjustRightInd w:val="0"/>
        <w:spacing w:after="0"/>
        <w:jc w:val="center"/>
        <w:rPr>
          <w:rFonts w:ascii="PT Serif" w:hAnsi="PT Serif" w:cs="Times New Roman"/>
          <w:b/>
          <w:bCs/>
          <w:smallCaps/>
          <w:color w:val="000000"/>
          <w:sz w:val="20"/>
          <w:szCs w:val="20"/>
        </w:rPr>
      </w:pPr>
    </w:p>
    <w:p w14:paraId="0581D01E" w14:textId="77777777" w:rsidR="00E93873" w:rsidRPr="00E93873" w:rsidRDefault="00E93873" w:rsidP="00E93873">
      <w:pPr>
        <w:rPr>
          <w:rFonts w:ascii="PT Serif" w:hAnsi="PT Serif" w:cs="Times New Roman"/>
          <w:b/>
          <w:bCs/>
          <w:sz w:val="20"/>
          <w:szCs w:val="20"/>
        </w:rPr>
      </w:pPr>
      <w:r w:rsidRPr="00E93873">
        <w:rPr>
          <w:rFonts w:ascii="PT Serif" w:hAnsi="PT Serif" w:cs="Times New Roman"/>
          <w:b/>
          <w:bCs/>
          <w:sz w:val="20"/>
          <w:szCs w:val="20"/>
        </w:rPr>
        <w:t>Dati rispondente</w:t>
      </w:r>
    </w:p>
    <w:p w14:paraId="6019B5C9" w14:textId="77777777" w:rsidR="00E93873" w:rsidRPr="00E93873" w:rsidRDefault="00E93873" w:rsidP="00E93873">
      <w:pPr>
        <w:rPr>
          <w:rFonts w:ascii="PT Serif" w:hAnsi="PT Serif" w:cs="Times New Roman"/>
          <w:b/>
          <w:bCs/>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9"/>
        <w:gridCol w:w="3569"/>
        <w:gridCol w:w="3569"/>
        <w:gridCol w:w="3570"/>
      </w:tblGrid>
      <w:tr w:rsidR="00E93873" w:rsidRPr="00E93873" w14:paraId="3A177F99" w14:textId="77777777" w:rsidTr="00EA458D">
        <w:tc>
          <w:tcPr>
            <w:tcW w:w="3569" w:type="dxa"/>
            <w:tcBorders>
              <w:right w:val="single" w:sz="4" w:space="0" w:color="auto"/>
            </w:tcBorders>
          </w:tcPr>
          <w:p w14:paraId="555FC446" w14:textId="77777777" w:rsidR="00E93873" w:rsidRPr="00E93873" w:rsidRDefault="00E93873" w:rsidP="00EA458D">
            <w:pPr>
              <w:rPr>
                <w:rFonts w:ascii="PT Serif" w:hAnsi="PT Serif" w:cs="Times New Roman"/>
                <w:b/>
                <w:sz w:val="20"/>
                <w:szCs w:val="20"/>
                <w:lang w:val="it-IT"/>
              </w:rPr>
            </w:pPr>
            <w:r w:rsidRPr="00E93873">
              <w:rPr>
                <w:rFonts w:ascii="PT Serif" w:hAnsi="PT Serif" w:cs="Times New Roman"/>
                <w:b/>
                <w:sz w:val="20"/>
                <w:szCs w:val="20"/>
                <w:lang w:val="it-IT"/>
              </w:rPr>
              <w:t>Nome</w:t>
            </w:r>
          </w:p>
        </w:tc>
        <w:tc>
          <w:tcPr>
            <w:tcW w:w="3569" w:type="dxa"/>
            <w:tcBorders>
              <w:top w:val="single" w:sz="4" w:space="0" w:color="auto"/>
              <w:left w:val="single" w:sz="4" w:space="0" w:color="auto"/>
              <w:bottom w:val="single" w:sz="4" w:space="0" w:color="auto"/>
              <w:right w:val="single" w:sz="4" w:space="0" w:color="auto"/>
            </w:tcBorders>
          </w:tcPr>
          <w:p w14:paraId="55F98C9E" w14:textId="77777777" w:rsidR="00E93873" w:rsidRPr="00E93873" w:rsidRDefault="00E93873" w:rsidP="00EA458D">
            <w:pPr>
              <w:rPr>
                <w:rFonts w:ascii="PT Serif" w:hAnsi="PT Serif" w:cs="Times New Roman"/>
                <w:b/>
                <w:sz w:val="20"/>
                <w:szCs w:val="20"/>
                <w:lang w:val="it-IT"/>
              </w:rPr>
            </w:pPr>
          </w:p>
        </w:tc>
        <w:tc>
          <w:tcPr>
            <w:tcW w:w="3569" w:type="dxa"/>
            <w:tcBorders>
              <w:left w:val="single" w:sz="4" w:space="0" w:color="auto"/>
              <w:right w:val="single" w:sz="4" w:space="0" w:color="auto"/>
            </w:tcBorders>
          </w:tcPr>
          <w:p w14:paraId="61946569" w14:textId="77777777" w:rsidR="00E93873" w:rsidRPr="00E93873" w:rsidRDefault="00E93873" w:rsidP="00EA458D">
            <w:pPr>
              <w:jc w:val="center"/>
              <w:rPr>
                <w:rFonts w:ascii="PT Serif" w:hAnsi="PT Serif" w:cs="Times New Roman"/>
                <w:b/>
                <w:sz w:val="20"/>
                <w:szCs w:val="20"/>
                <w:lang w:val="it-IT"/>
              </w:rPr>
            </w:pPr>
            <w:r w:rsidRPr="00E93873">
              <w:rPr>
                <w:rFonts w:ascii="PT Serif" w:hAnsi="PT Serif" w:cs="Times New Roman"/>
                <w:b/>
                <w:sz w:val="20"/>
                <w:szCs w:val="20"/>
                <w:lang w:val="it-IT"/>
              </w:rPr>
              <w:t>Cognome</w:t>
            </w:r>
          </w:p>
        </w:tc>
        <w:tc>
          <w:tcPr>
            <w:tcW w:w="3570" w:type="dxa"/>
            <w:tcBorders>
              <w:top w:val="single" w:sz="4" w:space="0" w:color="auto"/>
              <w:left w:val="single" w:sz="4" w:space="0" w:color="auto"/>
              <w:bottom w:val="single" w:sz="4" w:space="0" w:color="auto"/>
              <w:right w:val="single" w:sz="4" w:space="0" w:color="auto"/>
            </w:tcBorders>
          </w:tcPr>
          <w:p w14:paraId="15034916" w14:textId="77777777" w:rsidR="00E93873" w:rsidRPr="00E93873" w:rsidRDefault="00E93873" w:rsidP="00EA458D">
            <w:pPr>
              <w:rPr>
                <w:rFonts w:ascii="PT Serif" w:hAnsi="PT Serif" w:cs="Times New Roman"/>
                <w:b/>
                <w:sz w:val="20"/>
                <w:szCs w:val="20"/>
                <w:lang w:val="it-IT"/>
              </w:rPr>
            </w:pPr>
          </w:p>
        </w:tc>
      </w:tr>
      <w:tr w:rsidR="00E93873" w:rsidRPr="00E93873" w14:paraId="7CBF4432" w14:textId="77777777" w:rsidTr="00EA458D">
        <w:tc>
          <w:tcPr>
            <w:tcW w:w="14277" w:type="dxa"/>
            <w:gridSpan w:val="4"/>
          </w:tcPr>
          <w:p w14:paraId="3286E9AC" w14:textId="77777777" w:rsidR="00E93873" w:rsidRPr="00E93873" w:rsidRDefault="00E93873" w:rsidP="00EA458D">
            <w:pPr>
              <w:rPr>
                <w:rFonts w:ascii="PT Serif" w:hAnsi="PT Serif" w:cs="Times New Roman"/>
                <w:b/>
                <w:sz w:val="20"/>
                <w:szCs w:val="20"/>
                <w:lang w:val="it-IT"/>
              </w:rPr>
            </w:pPr>
          </w:p>
        </w:tc>
      </w:tr>
      <w:tr w:rsidR="00E93873" w:rsidRPr="00E93873" w14:paraId="48107B73" w14:textId="77777777" w:rsidTr="00EA458D">
        <w:tc>
          <w:tcPr>
            <w:tcW w:w="3569" w:type="dxa"/>
            <w:tcBorders>
              <w:right w:val="single" w:sz="4" w:space="0" w:color="auto"/>
            </w:tcBorders>
          </w:tcPr>
          <w:p w14:paraId="50A834C3" w14:textId="77777777" w:rsidR="00E93873" w:rsidRPr="00E93873" w:rsidRDefault="00E93873" w:rsidP="00EA458D">
            <w:pPr>
              <w:rPr>
                <w:rFonts w:ascii="PT Serif" w:hAnsi="PT Serif" w:cs="Times New Roman"/>
                <w:b/>
                <w:sz w:val="20"/>
                <w:szCs w:val="20"/>
                <w:lang w:val="it-IT"/>
              </w:rPr>
            </w:pPr>
            <w:r w:rsidRPr="00E93873">
              <w:rPr>
                <w:rFonts w:ascii="PT Serif" w:hAnsi="PT Serif" w:cs="Times New Roman"/>
                <w:b/>
                <w:sz w:val="20"/>
                <w:szCs w:val="20"/>
                <w:lang w:val="it-IT"/>
              </w:rPr>
              <w:t>Ente</w:t>
            </w:r>
          </w:p>
        </w:tc>
        <w:tc>
          <w:tcPr>
            <w:tcW w:w="3569" w:type="dxa"/>
            <w:tcBorders>
              <w:top w:val="single" w:sz="4" w:space="0" w:color="auto"/>
              <w:left w:val="single" w:sz="4" w:space="0" w:color="auto"/>
              <w:bottom w:val="single" w:sz="4" w:space="0" w:color="auto"/>
              <w:right w:val="single" w:sz="4" w:space="0" w:color="auto"/>
            </w:tcBorders>
          </w:tcPr>
          <w:p w14:paraId="5FFD0DC1" w14:textId="77777777" w:rsidR="00E93873" w:rsidRPr="00E93873" w:rsidRDefault="00E93873" w:rsidP="00EA458D">
            <w:pPr>
              <w:rPr>
                <w:rFonts w:ascii="PT Serif" w:hAnsi="PT Serif" w:cs="Times New Roman"/>
                <w:b/>
                <w:sz w:val="20"/>
                <w:szCs w:val="20"/>
                <w:lang w:val="it-IT"/>
              </w:rPr>
            </w:pPr>
          </w:p>
        </w:tc>
        <w:tc>
          <w:tcPr>
            <w:tcW w:w="3569" w:type="dxa"/>
            <w:tcBorders>
              <w:left w:val="single" w:sz="4" w:space="0" w:color="auto"/>
              <w:right w:val="single" w:sz="4" w:space="0" w:color="auto"/>
            </w:tcBorders>
          </w:tcPr>
          <w:p w14:paraId="0A059B0E" w14:textId="77777777" w:rsidR="00E93873" w:rsidRPr="00E93873" w:rsidRDefault="00E93873" w:rsidP="00EA458D">
            <w:pPr>
              <w:jc w:val="center"/>
              <w:rPr>
                <w:rFonts w:ascii="PT Serif" w:hAnsi="PT Serif" w:cs="Times New Roman"/>
                <w:b/>
                <w:sz w:val="20"/>
                <w:szCs w:val="20"/>
                <w:lang w:val="it-IT"/>
              </w:rPr>
            </w:pPr>
            <w:r w:rsidRPr="00E93873">
              <w:rPr>
                <w:rFonts w:ascii="PT Serif" w:hAnsi="PT Serif" w:cs="Times New Roman"/>
                <w:b/>
                <w:sz w:val="20"/>
                <w:szCs w:val="20"/>
                <w:lang w:val="it-IT"/>
              </w:rPr>
              <w:t>E-mail</w:t>
            </w:r>
          </w:p>
        </w:tc>
        <w:tc>
          <w:tcPr>
            <w:tcW w:w="3570" w:type="dxa"/>
            <w:tcBorders>
              <w:top w:val="single" w:sz="4" w:space="0" w:color="auto"/>
              <w:left w:val="single" w:sz="4" w:space="0" w:color="auto"/>
              <w:right w:val="single" w:sz="4" w:space="0" w:color="auto"/>
            </w:tcBorders>
          </w:tcPr>
          <w:p w14:paraId="141A17D1" w14:textId="77777777" w:rsidR="00E93873" w:rsidRPr="00E93873" w:rsidRDefault="00E93873" w:rsidP="00EA458D">
            <w:pPr>
              <w:rPr>
                <w:rFonts w:ascii="PT Serif" w:hAnsi="PT Serif" w:cs="Times New Roman"/>
                <w:b/>
                <w:sz w:val="20"/>
                <w:szCs w:val="20"/>
                <w:lang w:val="it-IT"/>
              </w:rPr>
            </w:pPr>
          </w:p>
        </w:tc>
      </w:tr>
      <w:tr w:rsidR="00E93873" w:rsidRPr="00E93873" w14:paraId="73009B46" w14:textId="77777777" w:rsidTr="00EA458D">
        <w:trPr>
          <w:trHeight w:val="562"/>
        </w:trPr>
        <w:tc>
          <w:tcPr>
            <w:tcW w:w="14277" w:type="dxa"/>
            <w:gridSpan w:val="4"/>
          </w:tcPr>
          <w:p w14:paraId="3B5CD267" w14:textId="77777777" w:rsidR="00E93873" w:rsidRPr="00E93873" w:rsidRDefault="00E93873" w:rsidP="00EA458D">
            <w:pPr>
              <w:rPr>
                <w:rFonts w:ascii="PT Serif" w:hAnsi="PT Serif" w:cs="Times New Roman"/>
                <w:b/>
                <w:sz w:val="20"/>
                <w:szCs w:val="20"/>
                <w:lang w:val="it-IT"/>
              </w:rPr>
            </w:pPr>
          </w:p>
        </w:tc>
      </w:tr>
      <w:tr w:rsidR="00E93873" w:rsidRPr="00E93873" w14:paraId="4E357230" w14:textId="77777777" w:rsidTr="00EA458D">
        <w:trPr>
          <w:trHeight w:val="532"/>
        </w:trPr>
        <w:tc>
          <w:tcPr>
            <w:tcW w:w="3569" w:type="dxa"/>
            <w:tcBorders>
              <w:right w:val="single" w:sz="4" w:space="0" w:color="auto"/>
            </w:tcBorders>
          </w:tcPr>
          <w:p w14:paraId="7951AECF" w14:textId="77777777" w:rsidR="00E93873" w:rsidRPr="00E93873" w:rsidRDefault="00E93873" w:rsidP="00EA458D">
            <w:pPr>
              <w:rPr>
                <w:rFonts w:ascii="PT Serif" w:hAnsi="PT Serif" w:cs="Times New Roman"/>
                <w:b/>
                <w:bCs/>
                <w:sz w:val="20"/>
                <w:szCs w:val="20"/>
                <w:lang w:val="it-IT"/>
              </w:rPr>
            </w:pPr>
            <w:r w:rsidRPr="00E93873">
              <w:rPr>
                <w:rFonts w:ascii="PT Serif" w:hAnsi="PT Serif" w:cs="Times New Roman"/>
                <w:sz w:val="20"/>
                <w:szCs w:val="20"/>
                <w:lang w:val="it-IT"/>
              </w:rPr>
              <w:t>Consenso alla pubblicazione del contributo (SI/NO)</w:t>
            </w:r>
            <w:r w:rsidRPr="00E93873">
              <w:rPr>
                <w:rStyle w:val="Rimandonotaapidipagina"/>
                <w:rFonts w:ascii="PT Serif" w:hAnsi="PT Serif" w:cs="Times New Roman"/>
                <w:sz w:val="20"/>
                <w:szCs w:val="20"/>
                <w:lang w:val="it-IT"/>
              </w:rPr>
              <w:t xml:space="preserve"> </w:t>
            </w:r>
            <w:r w:rsidRPr="00E93873">
              <w:rPr>
                <w:rStyle w:val="Rimandonotaapidipagina"/>
                <w:rFonts w:ascii="PT Serif" w:hAnsi="PT Serif" w:cs="Times New Roman"/>
                <w:sz w:val="20"/>
                <w:szCs w:val="20"/>
                <w:lang w:val="it-IT"/>
              </w:rPr>
              <w:footnoteReference w:id="1"/>
            </w:r>
          </w:p>
        </w:tc>
        <w:tc>
          <w:tcPr>
            <w:tcW w:w="3569" w:type="dxa"/>
            <w:tcBorders>
              <w:top w:val="single" w:sz="4" w:space="0" w:color="auto"/>
              <w:left w:val="single" w:sz="4" w:space="0" w:color="auto"/>
              <w:bottom w:val="single" w:sz="4" w:space="0" w:color="auto"/>
              <w:right w:val="single" w:sz="4" w:space="0" w:color="auto"/>
            </w:tcBorders>
          </w:tcPr>
          <w:p w14:paraId="4DAC2812" w14:textId="77777777" w:rsidR="00E93873" w:rsidRPr="00E93873" w:rsidRDefault="00E93873" w:rsidP="00EA458D">
            <w:pPr>
              <w:rPr>
                <w:rFonts w:ascii="PT Serif" w:hAnsi="PT Serif" w:cs="Times New Roman"/>
                <w:b/>
                <w:bCs/>
                <w:sz w:val="20"/>
                <w:szCs w:val="20"/>
                <w:lang w:val="it-IT"/>
              </w:rPr>
            </w:pPr>
          </w:p>
        </w:tc>
        <w:tc>
          <w:tcPr>
            <w:tcW w:w="3569" w:type="dxa"/>
            <w:tcBorders>
              <w:left w:val="single" w:sz="4" w:space="0" w:color="auto"/>
            </w:tcBorders>
          </w:tcPr>
          <w:p w14:paraId="608A1187" w14:textId="77777777" w:rsidR="00E93873" w:rsidRPr="00E93873" w:rsidRDefault="00E93873" w:rsidP="00EA458D">
            <w:pPr>
              <w:rPr>
                <w:rFonts w:ascii="PT Serif" w:hAnsi="PT Serif" w:cs="Times New Roman"/>
                <w:b/>
                <w:bCs/>
                <w:sz w:val="20"/>
                <w:szCs w:val="20"/>
                <w:lang w:val="it-IT"/>
              </w:rPr>
            </w:pPr>
          </w:p>
        </w:tc>
        <w:tc>
          <w:tcPr>
            <w:tcW w:w="3570" w:type="dxa"/>
          </w:tcPr>
          <w:p w14:paraId="2BCF63D3" w14:textId="77777777" w:rsidR="00E93873" w:rsidRPr="00E93873" w:rsidRDefault="00E93873" w:rsidP="00EA458D">
            <w:pPr>
              <w:rPr>
                <w:rFonts w:ascii="PT Serif" w:hAnsi="PT Serif" w:cs="Times New Roman"/>
                <w:b/>
                <w:bCs/>
                <w:sz w:val="20"/>
                <w:szCs w:val="20"/>
                <w:lang w:val="it-IT"/>
              </w:rPr>
            </w:pPr>
          </w:p>
        </w:tc>
      </w:tr>
      <w:tr w:rsidR="00E93873" w:rsidRPr="00E93873" w14:paraId="6500872C" w14:textId="77777777" w:rsidTr="00EA458D">
        <w:tc>
          <w:tcPr>
            <w:tcW w:w="3569" w:type="dxa"/>
          </w:tcPr>
          <w:p w14:paraId="736A81C9" w14:textId="77777777" w:rsidR="00E93873" w:rsidRPr="00E93873" w:rsidRDefault="00E93873" w:rsidP="00EA458D">
            <w:pPr>
              <w:rPr>
                <w:rFonts w:ascii="PT Serif" w:hAnsi="PT Serif" w:cs="Times New Roman"/>
                <w:b/>
                <w:bCs/>
                <w:sz w:val="20"/>
                <w:szCs w:val="20"/>
                <w:lang w:val="it-IT"/>
              </w:rPr>
            </w:pPr>
          </w:p>
        </w:tc>
        <w:tc>
          <w:tcPr>
            <w:tcW w:w="3569" w:type="dxa"/>
            <w:tcBorders>
              <w:top w:val="single" w:sz="4" w:space="0" w:color="auto"/>
            </w:tcBorders>
          </w:tcPr>
          <w:p w14:paraId="580200DE" w14:textId="77777777" w:rsidR="00E93873" w:rsidRPr="00E93873" w:rsidRDefault="00E93873" w:rsidP="00EA458D">
            <w:pPr>
              <w:rPr>
                <w:rFonts w:ascii="PT Serif" w:hAnsi="PT Serif" w:cs="Times New Roman"/>
                <w:b/>
                <w:bCs/>
                <w:sz w:val="20"/>
                <w:szCs w:val="20"/>
                <w:lang w:val="it-IT"/>
              </w:rPr>
            </w:pPr>
          </w:p>
        </w:tc>
        <w:tc>
          <w:tcPr>
            <w:tcW w:w="3569" w:type="dxa"/>
          </w:tcPr>
          <w:p w14:paraId="5FE8206F" w14:textId="77777777" w:rsidR="00E93873" w:rsidRPr="00E93873" w:rsidRDefault="00E93873" w:rsidP="00EA458D">
            <w:pPr>
              <w:rPr>
                <w:rFonts w:ascii="PT Serif" w:hAnsi="PT Serif" w:cs="Times New Roman"/>
                <w:b/>
                <w:bCs/>
                <w:sz w:val="20"/>
                <w:szCs w:val="20"/>
                <w:lang w:val="it-IT"/>
              </w:rPr>
            </w:pPr>
          </w:p>
        </w:tc>
        <w:tc>
          <w:tcPr>
            <w:tcW w:w="3570" w:type="dxa"/>
          </w:tcPr>
          <w:p w14:paraId="67312FB8" w14:textId="77777777" w:rsidR="00E93873" w:rsidRPr="00E93873" w:rsidRDefault="00E93873" w:rsidP="00EA458D">
            <w:pPr>
              <w:rPr>
                <w:rFonts w:ascii="PT Serif" w:hAnsi="PT Serif" w:cs="Times New Roman"/>
                <w:b/>
                <w:bCs/>
                <w:sz w:val="20"/>
                <w:szCs w:val="20"/>
                <w:lang w:val="it-IT"/>
              </w:rPr>
            </w:pPr>
          </w:p>
        </w:tc>
      </w:tr>
    </w:tbl>
    <w:p w14:paraId="604EA150" w14:textId="77777777" w:rsidR="00E93873" w:rsidRPr="00E93873" w:rsidRDefault="00E93873" w:rsidP="00E93873">
      <w:pPr>
        <w:rPr>
          <w:rFonts w:ascii="PT Serif" w:hAnsi="PT Serif" w:cs="Times New Roman"/>
          <w:sz w:val="20"/>
          <w:szCs w:val="20"/>
        </w:rPr>
      </w:pPr>
    </w:p>
    <w:p w14:paraId="5D5EB865" w14:textId="77777777" w:rsidR="00E93873" w:rsidRPr="00E93873" w:rsidRDefault="00E93873" w:rsidP="00E93873">
      <w:pPr>
        <w:rPr>
          <w:rFonts w:ascii="PT Serif" w:hAnsi="PT Serif" w:cs="Times New Roman"/>
          <w:sz w:val="20"/>
          <w:szCs w:val="20"/>
        </w:rPr>
      </w:pPr>
    </w:p>
    <w:tbl>
      <w:tblPr>
        <w:tblStyle w:val="Grigliatabella"/>
        <w:tblpPr w:leftFromText="141" w:rightFromText="141" w:vertAnchor="text" w:horzAnchor="margin" w:tblpY="90"/>
        <w:tblW w:w="5000" w:type="pct"/>
        <w:tblLook w:val="04A0" w:firstRow="1" w:lastRow="0" w:firstColumn="1" w:lastColumn="0" w:noHBand="0" w:noVBand="1"/>
      </w:tblPr>
      <w:tblGrid>
        <w:gridCol w:w="8075"/>
        <w:gridCol w:w="6202"/>
      </w:tblGrid>
      <w:tr w:rsidR="00E93873" w:rsidRPr="00E93873" w14:paraId="7F5E9020" w14:textId="77777777" w:rsidTr="00400FFB">
        <w:trPr>
          <w:tblHeader/>
        </w:trPr>
        <w:tc>
          <w:tcPr>
            <w:tcW w:w="2828" w:type="pct"/>
            <w:shd w:val="clear" w:color="auto" w:fill="BF4E14" w:themeFill="accent2" w:themeFillShade="BF"/>
          </w:tcPr>
          <w:p w14:paraId="15D4DF2C" w14:textId="77777777" w:rsidR="00E93873" w:rsidRPr="00E93873" w:rsidRDefault="00E93873" w:rsidP="00EA458D">
            <w:pPr>
              <w:spacing w:after="0"/>
              <w:jc w:val="center"/>
              <w:rPr>
                <w:rFonts w:ascii="PT Serif" w:hAnsi="PT Serif" w:cs="Times New Roman"/>
                <w:b/>
                <w:sz w:val="24"/>
                <w:szCs w:val="24"/>
                <w:lang w:val="it-IT"/>
              </w:rPr>
            </w:pPr>
            <w:r w:rsidRPr="00E93873">
              <w:rPr>
                <w:rFonts w:ascii="PT Serif" w:hAnsi="PT Serif" w:cs="Times New Roman"/>
                <w:b/>
                <w:sz w:val="24"/>
                <w:szCs w:val="24"/>
                <w:lang w:val="it-IT"/>
              </w:rPr>
              <w:lastRenderedPageBreak/>
              <w:t xml:space="preserve">Quesiti </w:t>
            </w:r>
          </w:p>
        </w:tc>
        <w:tc>
          <w:tcPr>
            <w:tcW w:w="2172" w:type="pct"/>
            <w:shd w:val="clear" w:color="auto" w:fill="BF4E14" w:themeFill="accent2" w:themeFillShade="BF"/>
          </w:tcPr>
          <w:p w14:paraId="228264B7" w14:textId="77777777" w:rsidR="00E93873" w:rsidRPr="00E93873" w:rsidRDefault="00E93873" w:rsidP="00EA458D">
            <w:pPr>
              <w:spacing w:after="0"/>
              <w:jc w:val="center"/>
              <w:rPr>
                <w:rFonts w:ascii="PT Serif" w:hAnsi="PT Serif" w:cs="Times New Roman"/>
                <w:b/>
                <w:sz w:val="24"/>
                <w:szCs w:val="24"/>
                <w:lang w:val="it-IT"/>
              </w:rPr>
            </w:pPr>
            <w:r w:rsidRPr="00E93873">
              <w:rPr>
                <w:rFonts w:ascii="PT Serif" w:hAnsi="PT Serif" w:cs="Times New Roman"/>
                <w:b/>
                <w:sz w:val="24"/>
                <w:szCs w:val="24"/>
                <w:lang w:val="it-IT"/>
              </w:rPr>
              <w:t>Osservazione</w:t>
            </w:r>
          </w:p>
        </w:tc>
      </w:tr>
      <w:tr w:rsidR="00E93873" w:rsidRPr="00E93873" w14:paraId="56D00046" w14:textId="77777777" w:rsidTr="00EA458D">
        <w:tc>
          <w:tcPr>
            <w:tcW w:w="5000" w:type="pct"/>
            <w:gridSpan w:val="2"/>
            <w:shd w:val="clear" w:color="auto" w:fill="F6C5AC" w:themeFill="accent2" w:themeFillTint="66"/>
          </w:tcPr>
          <w:p w14:paraId="69CC1F0C" w14:textId="77777777" w:rsidR="00E93873" w:rsidRPr="00E93873" w:rsidRDefault="00E93873" w:rsidP="00EA458D">
            <w:pPr>
              <w:spacing w:after="0"/>
              <w:jc w:val="both"/>
              <w:rPr>
                <w:rFonts w:ascii="PT Serif" w:hAnsi="PT Serif" w:cs="Times New Roman"/>
                <w:b/>
                <w:bCs/>
                <w:smallCaps/>
                <w:sz w:val="24"/>
                <w:szCs w:val="24"/>
                <w:lang w:val="it-IT"/>
              </w:rPr>
            </w:pPr>
            <w:r w:rsidRPr="00E93873">
              <w:rPr>
                <w:rFonts w:ascii="PT Serif" w:hAnsi="PT Serif" w:cs="Times New Roman"/>
                <w:b/>
                <w:bCs/>
                <w:smallCaps/>
                <w:sz w:val="24"/>
                <w:szCs w:val="24"/>
                <w:lang w:val="it-IT"/>
              </w:rPr>
              <w:t xml:space="preserve">Parte 1 - Attuazione del </w:t>
            </w:r>
            <w:r w:rsidRPr="00E93873">
              <w:rPr>
                <w:rFonts w:ascii="PT Serif" w:hAnsi="PT Serif" w:cs="Times New Roman"/>
                <w:b/>
                <w:bCs/>
                <w:i/>
                <w:iCs/>
                <w:smallCaps/>
                <w:sz w:val="24"/>
                <w:szCs w:val="24"/>
                <w:lang w:val="it-IT"/>
              </w:rPr>
              <w:t>Listing act</w:t>
            </w:r>
          </w:p>
        </w:tc>
      </w:tr>
      <w:tr w:rsidR="00E93873" w:rsidRPr="00E93873" w14:paraId="2701B33E" w14:textId="77777777" w:rsidTr="00EA458D">
        <w:tc>
          <w:tcPr>
            <w:tcW w:w="5000" w:type="pct"/>
            <w:gridSpan w:val="2"/>
            <w:shd w:val="clear" w:color="auto" w:fill="F6C5AC" w:themeFill="accent2" w:themeFillTint="66"/>
          </w:tcPr>
          <w:p w14:paraId="04A7735F" w14:textId="77777777" w:rsidR="00E93873" w:rsidRPr="00E93873" w:rsidRDefault="00E93873" w:rsidP="00EA458D">
            <w:pPr>
              <w:spacing w:after="0"/>
              <w:jc w:val="both"/>
              <w:rPr>
                <w:rFonts w:ascii="PT Serif" w:hAnsi="PT Serif" w:cs="Times New Roman"/>
                <w:b/>
                <w:bCs/>
                <w:i/>
                <w:iCs/>
                <w:sz w:val="24"/>
                <w:szCs w:val="24"/>
                <w:lang w:val="it-IT"/>
              </w:rPr>
            </w:pPr>
            <w:r w:rsidRPr="00E93873">
              <w:rPr>
                <w:rFonts w:ascii="PT Serif" w:hAnsi="PT Serif" w:cs="Times New Roman"/>
                <w:b/>
                <w:bCs/>
                <w:i/>
                <w:iCs/>
                <w:sz w:val="24"/>
                <w:szCs w:val="24"/>
                <w:lang w:val="it-IT"/>
              </w:rPr>
              <w:t>1.1 Modifiche in materia di appello al pubblico risparmio</w:t>
            </w:r>
          </w:p>
        </w:tc>
      </w:tr>
      <w:tr w:rsidR="00E93873" w:rsidRPr="00E93873" w14:paraId="355117FB" w14:textId="77777777" w:rsidTr="00400FFB">
        <w:trPr>
          <w:trHeight w:val="1750"/>
        </w:trPr>
        <w:tc>
          <w:tcPr>
            <w:tcW w:w="2828" w:type="pct"/>
          </w:tcPr>
          <w:p w14:paraId="0746200D" w14:textId="77777777" w:rsidR="00E93873" w:rsidRPr="00E93873" w:rsidRDefault="00E93873" w:rsidP="00400FFB">
            <w:pPr>
              <w:jc w:val="both"/>
              <w:rPr>
                <w:rFonts w:ascii="PT Serif" w:hAnsi="PT Serif" w:cs="Times New Roman"/>
                <w:i/>
                <w:iCs/>
                <w:sz w:val="20"/>
                <w:szCs w:val="20"/>
                <w:u w:val="single"/>
                <w:lang w:val="it-IT"/>
              </w:rPr>
            </w:pPr>
            <w:r w:rsidRPr="00E93873">
              <w:rPr>
                <w:rFonts w:ascii="PT Serif" w:hAnsi="PT Serif" w:cs="Times New Roman"/>
                <w:i/>
                <w:iCs/>
                <w:sz w:val="20"/>
                <w:szCs w:val="20"/>
                <w:u w:val="single"/>
                <w:lang w:val="it-IT"/>
              </w:rPr>
              <w:t>1.1.1 Soglia di esenzione del prospetto per prodotti finanziari diversi dai titoli e disciplina OPA</w:t>
            </w:r>
          </w:p>
          <w:p w14:paraId="284853FD" w14:textId="77777777" w:rsidR="00E93873" w:rsidRPr="00E93873" w:rsidRDefault="00E93873" w:rsidP="00400FFB">
            <w:pPr>
              <w:spacing w:after="0"/>
              <w:ind w:left="596" w:hanging="426"/>
              <w:jc w:val="both"/>
              <w:rPr>
                <w:rFonts w:ascii="PT Serif" w:hAnsi="PT Serif" w:cs="Times New Roman"/>
                <w:sz w:val="20"/>
                <w:szCs w:val="20"/>
                <w:lang w:val="it-IT"/>
              </w:rPr>
            </w:pPr>
            <w:r w:rsidRPr="00E93873">
              <w:rPr>
                <w:rFonts w:ascii="PT Serif" w:hAnsi="PT Serif" w:cs="Times New Roman"/>
                <w:b/>
                <w:sz w:val="20"/>
                <w:szCs w:val="20"/>
                <w:lang w:val="it-IT"/>
              </w:rPr>
              <w:t>Q.</w:t>
            </w:r>
            <w:r w:rsidRPr="00E93873">
              <w:rPr>
                <w:rFonts w:ascii="PT Serif" w:hAnsi="PT Serif" w:cs="Times New Roman"/>
                <w:b/>
                <w:bCs/>
                <w:sz w:val="20"/>
                <w:szCs w:val="20"/>
                <w:lang w:val="it-IT"/>
              </w:rPr>
              <w:t>1</w:t>
            </w:r>
            <w:r w:rsidRPr="00E93873">
              <w:rPr>
                <w:rFonts w:ascii="PT Serif" w:hAnsi="PT Serif" w:cs="Times New Roman"/>
                <w:b/>
                <w:sz w:val="20"/>
                <w:szCs w:val="20"/>
                <w:lang w:val="it-IT"/>
              </w:rPr>
              <w:t>.</w:t>
            </w:r>
            <w:r w:rsidRPr="00E93873">
              <w:rPr>
                <w:rFonts w:ascii="PT Serif" w:hAnsi="PT Serif" w:cs="Times New Roman"/>
                <w:sz w:val="20"/>
                <w:szCs w:val="20"/>
                <w:lang w:val="it-IT"/>
              </w:rPr>
              <w:t xml:space="preserve"> Si ritiene condivisibile l’allineamento a 12 milioni di euro della soglia di esenzione anche per le offerte di prodotti finanziari diversi dai titoli, in coerenza con la nuova soglia prevista per le offerte di titoli dal Regolamento Prospetto?</w:t>
            </w:r>
          </w:p>
          <w:p w14:paraId="79CACC66" w14:textId="77777777" w:rsidR="00E93873" w:rsidRPr="00E93873" w:rsidRDefault="00E93873" w:rsidP="00400FFB">
            <w:pPr>
              <w:rPr>
                <w:rFonts w:ascii="PT Serif" w:hAnsi="PT Serif" w:cs="Times New Roman"/>
                <w:sz w:val="20"/>
                <w:szCs w:val="20"/>
                <w:lang w:val="it-IT"/>
              </w:rPr>
            </w:pPr>
          </w:p>
        </w:tc>
        <w:tc>
          <w:tcPr>
            <w:tcW w:w="2172" w:type="pct"/>
          </w:tcPr>
          <w:p w14:paraId="74106DCC" w14:textId="77777777" w:rsidR="00E93873" w:rsidRPr="00E93873" w:rsidRDefault="00E93873" w:rsidP="00EA458D">
            <w:pPr>
              <w:rPr>
                <w:rFonts w:ascii="PT Serif" w:hAnsi="PT Serif" w:cs="Times New Roman"/>
                <w:sz w:val="20"/>
                <w:szCs w:val="20"/>
                <w:lang w:val="it-IT"/>
              </w:rPr>
            </w:pPr>
          </w:p>
        </w:tc>
      </w:tr>
      <w:tr w:rsidR="00E93873" w:rsidRPr="00E93873" w14:paraId="37393504" w14:textId="77777777" w:rsidTr="00400FFB">
        <w:trPr>
          <w:trHeight w:val="1750"/>
        </w:trPr>
        <w:tc>
          <w:tcPr>
            <w:tcW w:w="2828" w:type="pct"/>
          </w:tcPr>
          <w:p w14:paraId="0311CF2E" w14:textId="77777777" w:rsidR="00E93873" w:rsidRPr="00E93873" w:rsidRDefault="00E93873" w:rsidP="00400FFB">
            <w:pPr>
              <w:spacing w:after="0"/>
              <w:ind w:left="596" w:hanging="426"/>
              <w:jc w:val="both"/>
              <w:rPr>
                <w:rFonts w:ascii="PT Serif" w:hAnsi="PT Serif" w:cs="Times New Roman"/>
                <w:sz w:val="20"/>
                <w:szCs w:val="20"/>
                <w:lang w:val="it-IT"/>
              </w:rPr>
            </w:pPr>
            <w:r w:rsidRPr="00E93873">
              <w:rPr>
                <w:rFonts w:ascii="PT Serif" w:hAnsi="PT Serif" w:cs="Times New Roman"/>
                <w:b/>
                <w:bCs/>
                <w:sz w:val="20"/>
                <w:szCs w:val="20"/>
                <w:lang w:val="it-IT"/>
              </w:rPr>
              <w:t>Q.2.</w:t>
            </w:r>
            <w:r w:rsidRPr="00E93873">
              <w:rPr>
                <w:rFonts w:ascii="PT Serif" w:hAnsi="PT Serif" w:cs="Times New Roman"/>
                <w:sz w:val="20"/>
                <w:szCs w:val="20"/>
                <w:lang w:val="it-IT"/>
              </w:rPr>
              <w:t xml:space="preserve"> Nel nuovo quadro normativo, in cui la determinazione dell’ammontare complessivo rilevante ai fini della nozione di OPA è rimessa alla disciplina regolamentare della Consob e non è più automaticamente collegata alla soglia di esenzione dal prospetto, si ritiene che l’attuale soglia pari a </w:t>
            </w:r>
            <w:proofErr w:type="gramStart"/>
            <w:r w:rsidRPr="00E93873">
              <w:rPr>
                <w:rFonts w:ascii="PT Serif" w:hAnsi="PT Serif" w:cs="Times New Roman"/>
                <w:sz w:val="20"/>
                <w:szCs w:val="20"/>
                <w:lang w:val="it-IT"/>
              </w:rPr>
              <w:t>8</w:t>
            </w:r>
            <w:proofErr w:type="gramEnd"/>
            <w:r w:rsidRPr="00E93873">
              <w:rPr>
                <w:rFonts w:ascii="PT Serif" w:hAnsi="PT Serif" w:cs="Times New Roman"/>
                <w:sz w:val="20"/>
                <w:szCs w:val="20"/>
                <w:lang w:val="it-IT"/>
              </w:rPr>
              <w:t xml:space="preserve"> mln/€ sia adeguata alla luce delle caratteristiche del mercato italiano e delle valutazioni contenute nell’analisi preliminare degli impatti della regolamentazione? Nel caso si ritenga invece opportuno aggiornare la soglia, si prega di fornire una proposta indicando le motivazioni a supporto.</w:t>
            </w:r>
          </w:p>
          <w:p w14:paraId="5D45C6C4" w14:textId="77777777" w:rsidR="00E93873" w:rsidRPr="00E93873" w:rsidRDefault="00E93873" w:rsidP="00400FFB">
            <w:pPr>
              <w:rPr>
                <w:rFonts w:ascii="PT Serif" w:hAnsi="PT Serif" w:cs="Times New Roman"/>
                <w:i/>
                <w:iCs/>
                <w:sz w:val="20"/>
                <w:szCs w:val="20"/>
                <w:lang w:val="it-IT"/>
              </w:rPr>
            </w:pPr>
          </w:p>
        </w:tc>
        <w:tc>
          <w:tcPr>
            <w:tcW w:w="2172" w:type="pct"/>
          </w:tcPr>
          <w:p w14:paraId="58E729BE" w14:textId="77777777" w:rsidR="00E93873" w:rsidRPr="00E93873" w:rsidRDefault="00E93873" w:rsidP="00EA458D">
            <w:pPr>
              <w:rPr>
                <w:rFonts w:ascii="PT Serif" w:hAnsi="PT Serif" w:cs="Times New Roman"/>
                <w:sz w:val="20"/>
                <w:szCs w:val="20"/>
                <w:lang w:val="it-IT"/>
              </w:rPr>
            </w:pPr>
          </w:p>
        </w:tc>
      </w:tr>
      <w:tr w:rsidR="00E93873" w:rsidRPr="00E93873" w14:paraId="58630A28" w14:textId="77777777" w:rsidTr="00400FFB">
        <w:tc>
          <w:tcPr>
            <w:tcW w:w="2828" w:type="pct"/>
          </w:tcPr>
          <w:p w14:paraId="28B3AFE0" w14:textId="77777777" w:rsidR="00E93873" w:rsidRPr="00E93873" w:rsidRDefault="00E93873" w:rsidP="00400FFB">
            <w:pPr>
              <w:jc w:val="both"/>
              <w:rPr>
                <w:rFonts w:ascii="PT Serif" w:hAnsi="PT Serif" w:cs="Times New Roman"/>
                <w:i/>
                <w:iCs/>
                <w:sz w:val="20"/>
                <w:szCs w:val="20"/>
                <w:u w:val="single"/>
                <w:lang w:val="it-IT"/>
              </w:rPr>
            </w:pPr>
            <w:r w:rsidRPr="00E93873">
              <w:rPr>
                <w:rFonts w:ascii="PT Serif" w:hAnsi="PT Serif" w:cs="Times New Roman"/>
                <w:i/>
                <w:iCs/>
                <w:sz w:val="20"/>
                <w:szCs w:val="20"/>
                <w:u w:val="single"/>
                <w:lang w:val="it-IT"/>
              </w:rPr>
              <w:t>1.1.2 Regime di trasparenza per le offerte sottosoglia</w:t>
            </w:r>
          </w:p>
          <w:p w14:paraId="106EDA8D" w14:textId="77777777" w:rsidR="00E93873" w:rsidRDefault="00E93873" w:rsidP="00400FFB">
            <w:pPr>
              <w:spacing w:after="0"/>
              <w:ind w:left="596" w:hanging="426"/>
              <w:jc w:val="both"/>
              <w:rPr>
                <w:rFonts w:ascii="PT Serif" w:hAnsi="PT Serif" w:cs="Times New Roman"/>
                <w:sz w:val="20"/>
                <w:szCs w:val="20"/>
                <w:lang w:val="it-IT"/>
              </w:rPr>
            </w:pPr>
            <w:r w:rsidRPr="00E93873">
              <w:rPr>
                <w:rFonts w:ascii="PT Serif" w:hAnsi="PT Serif" w:cs="Times New Roman"/>
                <w:b/>
                <w:sz w:val="20"/>
                <w:szCs w:val="20"/>
                <w:lang w:val="it-IT"/>
              </w:rPr>
              <w:t>Q.</w:t>
            </w:r>
            <w:r w:rsidRPr="00E93873">
              <w:rPr>
                <w:rFonts w:ascii="PT Serif" w:hAnsi="PT Serif" w:cs="Times New Roman"/>
                <w:b/>
                <w:bCs/>
                <w:sz w:val="20"/>
                <w:szCs w:val="20"/>
                <w:lang w:val="it-IT"/>
              </w:rPr>
              <w:t>3</w:t>
            </w:r>
            <w:r w:rsidRPr="00E93873">
              <w:rPr>
                <w:rFonts w:ascii="PT Serif" w:hAnsi="PT Serif" w:cs="Times New Roman"/>
                <w:b/>
                <w:sz w:val="20"/>
                <w:szCs w:val="20"/>
                <w:lang w:val="it-IT"/>
              </w:rPr>
              <w:t>.</w:t>
            </w:r>
            <w:r w:rsidRPr="00E93873">
              <w:rPr>
                <w:rFonts w:ascii="PT Serif" w:hAnsi="PT Serif" w:cs="Times New Roman"/>
                <w:sz w:val="20"/>
                <w:szCs w:val="20"/>
                <w:lang w:val="it-IT"/>
              </w:rPr>
              <w:t xml:space="preserve"> Si condivide la scelta di non introdurre un documento informativo per le offerte pubbliche di titoli comprese tra 8 e 12 milioni di euro? In caso contrario, si prega di fornire le motivazioni a supporto.</w:t>
            </w:r>
          </w:p>
          <w:p w14:paraId="5AF0AD52" w14:textId="77777777" w:rsidR="00400FFB" w:rsidRDefault="00400FFB" w:rsidP="00400FFB">
            <w:pPr>
              <w:spacing w:after="0"/>
              <w:ind w:left="596" w:hanging="426"/>
              <w:jc w:val="both"/>
              <w:rPr>
                <w:rFonts w:ascii="PT Serif" w:hAnsi="PT Serif" w:cs="Times New Roman"/>
                <w:sz w:val="20"/>
                <w:szCs w:val="20"/>
                <w:lang w:val="it-IT"/>
              </w:rPr>
            </w:pPr>
          </w:p>
          <w:p w14:paraId="5BC434A5" w14:textId="77777777" w:rsidR="00400FFB" w:rsidRDefault="00400FFB" w:rsidP="00400FFB">
            <w:pPr>
              <w:spacing w:after="0"/>
              <w:ind w:left="596" w:hanging="426"/>
              <w:jc w:val="both"/>
              <w:rPr>
                <w:rFonts w:ascii="PT Serif" w:hAnsi="PT Serif" w:cs="Times New Roman"/>
                <w:sz w:val="20"/>
                <w:szCs w:val="20"/>
                <w:lang w:val="it-IT"/>
              </w:rPr>
            </w:pPr>
          </w:p>
          <w:p w14:paraId="41FC83D5" w14:textId="77777777" w:rsidR="00400FFB" w:rsidRDefault="00400FFB" w:rsidP="00400FFB">
            <w:pPr>
              <w:spacing w:after="0"/>
              <w:ind w:left="596" w:hanging="426"/>
              <w:jc w:val="both"/>
              <w:rPr>
                <w:rFonts w:ascii="PT Serif" w:hAnsi="PT Serif" w:cs="Times New Roman"/>
                <w:sz w:val="20"/>
                <w:szCs w:val="20"/>
                <w:lang w:val="it-IT"/>
              </w:rPr>
            </w:pPr>
          </w:p>
          <w:p w14:paraId="5C9BC53C" w14:textId="77777777" w:rsidR="00C801CF" w:rsidRPr="00E93873" w:rsidRDefault="00C801CF" w:rsidP="00400FFB">
            <w:pPr>
              <w:spacing w:after="0"/>
              <w:ind w:left="596" w:hanging="426"/>
              <w:jc w:val="both"/>
              <w:rPr>
                <w:rFonts w:ascii="PT Serif" w:hAnsi="PT Serif" w:cs="Times New Roman"/>
                <w:sz w:val="20"/>
                <w:szCs w:val="20"/>
                <w:lang w:val="it-IT"/>
              </w:rPr>
            </w:pPr>
          </w:p>
          <w:p w14:paraId="07C31337" w14:textId="77777777" w:rsidR="00E93873" w:rsidRPr="00E93873" w:rsidRDefault="00E93873" w:rsidP="00400FFB">
            <w:pPr>
              <w:spacing w:after="0"/>
              <w:ind w:left="873" w:hanging="426"/>
              <w:jc w:val="both"/>
              <w:rPr>
                <w:rFonts w:ascii="PT Serif" w:hAnsi="PT Serif" w:cs="Times New Roman"/>
                <w:sz w:val="20"/>
                <w:szCs w:val="20"/>
                <w:lang w:val="it-IT"/>
              </w:rPr>
            </w:pPr>
          </w:p>
        </w:tc>
        <w:tc>
          <w:tcPr>
            <w:tcW w:w="2172" w:type="pct"/>
          </w:tcPr>
          <w:p w14:paraId="61C4DD1A" w14:textId="77777777" w:rsidR="00E93873" w:rsidRPr="00E93873" w:rsidRDefault="00E93873" w:rsidP="00EA458D">
            <w:pPr>
              <w:rPr>
                <w:rFonts w:ascii="PT Serif" w:hAnsi="PT Serif" w:cs="Times New Roman"/>
                <w:sz w:val="20"/>
                <w:szCs w:val="20"/>
                <w:lang w:val="it-IT"/>
              </w:rPr>
            </w:pPr>
          </w:p>
        </w:tc>
      </w:tr>
      <w:tr w:rsidR="00E93873" w:rsidRPr="00E93873" w14:paraId="390B4A75" w14:textId="77777777" w:rsidTr="00EA458D">
        <w:tc>
          <w:tcPr>
            <w:tcW w:w="5000" w:type="pct"/>
            <w:gridSpan w:val="2"/>
            <w:shd w:val="clear" w:color="auto" w:fill="F1A983" w:themeFill="accent2" w:themeFillTint="99"/>
          </w:tcPr>
          <w:p w14:paraId="6A8986F5" w14:textId="77777777" w:rsidR="00E93873" w:rsidRPr="00E93873" w:rsidRDefault="00E93873" w:rsidP="00400FFB">
            <w:pPr>
              <w:spacing w:after="0"/>
              <w:rPr>
                <w:rFonts w:ascii="PT Serif" w:hAnsi="PT Serif" w:cs="Times New Roman"/>
                <w:sz w:val="20"/>
                <w:szCs w:val="20"/>
                <w:lang w:val="it-IT"/>
              </w:rPr>
            </w:pPr>
            <w:r w:rsidRPr="00E93873">
              <w:rPr>
                <w:rFonts w:ascii="PT Serif" w:hAnsi="PT Serif" w:cs="Times New Roman"/>
                <w:b/>
                <w:bCs/>
                <w:i/>
                <w:iCs/>
                <w:sz w:val="24"/>
                <w:szCs w:val="24"/>
                <w:lang w:val="it-IT"/>
              </w:rPr>
              <w:lastRenderedPageBreak/>
              <w:t>1.2 Modifiche in materia di mercati</w:t>
            </w:r>
          </w:p>
        </w:tc>
      </w:tr>
      <w:tr w:rsidR="00E93873" w:rsidRPr="00E93873" w14:paraId="6F5A9F3A" w14:textId="77777777" w:rsidTr="00400FFB">
        <w:tc>
          <w:tcPr>
            <w:tcW w:w="2828" w:type="pct"/>
          </w:tcPr>
          <w:p w14:paraId="01344219" w14:textId="77777777" w:rsidR="00E93873" w:rsidRPr="00E93873" w:rsidRDefault="00E93873" w:rsidP="00400FFB">
            <w:pPr>
              <w:jc w:val="both"/>
              <w:rPr>
                <w:rFonts w:ascii="PT Serif" w:hAnsi="PT Serif" w:cs="Times New Roman"/>
                <w:i/>
                <w:iCs/>
                <w:sz w:val="20"/>
                <w:szCs w:val="20"/>
                <w:u w:val="single"/>
                <w:lang w:val="it-IT"/>
              </w:rPr>
            </w:pPr>
            <w:r w:rsidRPr="00E93873">
              <w:rPr>
                <w:rFonts w:ascii="PT Serif" w:hAnsi="PT Serif" w:cs="Times New Roman"/>
                <w:i/>
                <w:iCs/>
                <w:sz w:val="20"/>
                <w:szCs w:val="20"/>
                <w:u w:val="single"/>
                <w:lang w:val="it-IT"/>
              </w:rPr>
              <w:t>1.2.1 Flottante minimo e criteri alternativi di sufficiente diffusione</w:t>
            </w:r>
          </w:p>
          <w:p w14:paraId="4CD87985" w14:textId="77777777" w:rsidR="00E93873" w:rsidRPr="00E93873" w:rsidRDefault="00E93873" w:rsidP="00400FFB">
            <w:pPr>
              <w:spacing w:after="0"/>
              <w:ind w:left="596" w:hanging="426"/>
              <w:jc w:val="both"/>
              <w:rPr>
                <w:rFonts w:ascii="PT Serif" w:hAnsi="PT Serif" w:cs="Times New Roman"/>
                <w:sz w:val="20"/>
                <w:szCs w:val="20"/>
                <w:lang w:val="it-IT"/>
              </w:rPr>
            </w:pPr>
            <w:r w:rsidRPr="00E93873">
              <w:rPr>
                <w:rFonts w:ascii="PT Serif" w:hAnsi="PT Serif" w:cs="Times New Roman"/>
                <w:b/>
                <w:sz w:val="20"/>
                <w:szCs w:val="20"/>
                <w:lang w:val="it-IT"/>
              </w:rPr>
              <w:t>Q.4.</w:t>
            </w:r>
            <w:r w:rsidRPr="00E93873">
              <w:rPr>
                <w:rFonts w:ascii="PT Serif" w:hAnsi="PT Serif" w:cs="Times New Roman"/>
                <w:sz w:val="20"/>
                <w:szCs w:val="20"/>
                <w:lang w:val="it-IT"/>
              </w:rPr>
              <w:t xml:space="preserve"> Alla luce delle caratteristiche del mercato italiano e delle valutazioni contenute nell’analisi preliminare degli impatti della regolamentazione,</w:t>
            </w:r>
            <w:r w:rsidRPr="00E93873">
              <w:rPr>
                <w:rFonts w:ascii="PT Serif" w:eastAsiaTheme="minorHAnsi" w:hAnsi="PT Serif" w:cs="Times New Roman"/>
                <w:sz w:val="24"/>
                <w:szCs w:val="24"/>
                <w:lang w:val="it-IT"/>
              </w:rPr>
              <w:t xml:space="preserve"> </w:t>
            </w:r>
            <w:r w:rsidRPr="00E93873">
              <w:rPr>
                <w:rFonts w:ascii="PT Serif" w:hAnsi="PT Serif" w:cs="Times New Roman"/>
                <w:sz w:val="20"/>
                <w:szCs w:val="20"/>
                <w:lang w:val="it-IT"/>
              </w:rPr>
              <w:t>nonché della ricostruzione del quadro giuridico sopra delineato, si condivide la scelta regolamentare proposta di non limitare la valutazione della sufficiente diffusione delle azioni alla sola soglia minima del 10% di flottante, consentendo invece ai gestori dei mercati regolamentati di prevedere gli ulteriori criteri indicati nella normativa europea?</w:t>
            </w:r>
          </w:p>
          <w:p w14:paraId="27BAC540" w14:textId="77777777" w:rsidR="00E93873" w:rsidRPr="00E93873" w:rsidRDefault="00E93873" w:rsidP="00400FFB">
            <w:pPr>
              <w:pStyle w:val="Paragrafoelenco"/>
              <w:ind w:left="596"/>
              <w:jc w:val="both"/>
              <w:rPr>
                <w:rFonts w:ascii="PT Serif" w:hAnsi="PT Serif" w:cs="Times New Roman"/>
                <w:sz w:val="20"/>
                <w:szCs w:val="20"/>
                <w:lang w:val="it-IT"/>
              </w:rPr>
            </w:pPr>
          </w:p>
          <w:p w14:paraId="432DF6B3" w14:textId="77777777" w:rsidR="00E93873" w:rsidRPr="00E93873" w:rsidRDefault="00E93873" w:rsidP="00400FFB">
            <w:pPr>
              <w:pStyle w:val="Paragrafoelenco"/>
              <w:ind w:left="596"/>
              <w:jc w:val="both"/>
              <w:rPr>
                <w:rFonts w:ascii="PT Serif" w:hAnsi="PT Serif" w:cs="Times New Roman"/>
                <w:sz w:val="20"/>
                <w:szCs w:val="20"/>
                <w:lang w:val="it-IT"/>
              </w:rPr>
            </w:pPr>
            <w:r w:rsidRPr="00E93873">
              <w:rPr>
                <w:rFonts w:ascii="PT Serif" w:hAnsi="PT Serif" w:cs="Times New Roman"/>
                <w:sz w:val="20"/>
                <w:szCs w:val="20"/>
                <w:lang w:val="it-IT"/>
              </w:rPr>
              <w:t>In caso contrario, si prega di fornire le motivazioni a supporto.</w:t>
            </w:r>
          </w:p>
          <w:p w14:paraId="555E11AF" w14:textId="77777777" w:rsidR="00E93873" w:rsidRPr="00E93873" w:rsidRDefault="00E93873" w:rsidP="00400FFB">
            <w:pPr>
              <w:pStyle w:val="Paragrafoelenco"/>
              <w:ind w:left="873"/>
              <w:jc w:val="both"/>
              <w:rPr>
                <w:rFonts w:ascii="PT Serif" w:hAnsi="PT Serif" w:cs="Times New Roman"/>
                <w:sz w:val="20"/>
                <w:szCs w:val="20"/>
                <w:lang w:val="it-IT"/>
              </w:rPr>
            </w:pPr>
          </w:p>
        </w:tc>
        <w:tc>
          <w:tcPr>
            <w:tcW w:w="2172" w:type="pct"/>
          </w:tcPr>
          <w:p w14:paraId="14D94C8E" w14:textId="77777777" w:rsidR="00E93873" w:rsidRPr="00E93873" w:rsidRDefault="00E93873" w:rsidP="00EA458D">
            <w:pPr>
              <w:rPr>
                <w:rFonts w:ascii="PT Serif" w:hAnsi="PT Serif" w:cs="Times New Roman"/>
                <w:sz w:val="20"/>
                <w:szCs w:val="20"/>
                <w:lang w:val="it-IT"/>
              </w:rPr>
            </w:pPr>
          </w:p>
        </w:tc>
      </w:tr>
      <w:tr w:rsidR="00E93873" w:rsidRPr="00E93873" w14:paraId="72A7B4E2" w14:textId="77777777" w:rsidTr="00400FFB">
        <w:tc>
          <w:tcPr>
            <w:tcW w:w="2828" w:type="pct"/>
          </w:tcPr>
          <w:p w14:paraId="029B6464" w14:textId="77777777" w:rsidR="00E93873" w:rsidRPr="00E93873" w:rsidRDefault="00E93873" w:rsidP="00400FFB">
            <w:pPr>
              <w:ind w:left="596" w:hanging="425"/>
              <w:jc w:val="both"/>
              <w:rPr>
                <w:rFonts w:ascii="PT Serif" w:hAnsi="PT Serif" w:cs="Times New Roman"/>
                <w:i/>
                <w:iCs/>
                <w:sz w:val="20"/>
                <w:szCs w:val="20"/>
                <w:u w:val="single"/>
                <w:lang w:val="it-IT"/>
              </w:rPr>
            </w:pPr>
            <w:r w:rsidRPr="00E93873">
              <w:rPr>
                <w:rFonts w:ascii="PT Serif" w:hAnsi="PT Serif" w:cs="Times New Roman"/>
                <w:b/>
                <w:sz w:val="20"/>
                <w:szCs w:val="20"/>
                <w:lang w:val="it-IT"/>
              </w:rPr>
              <w:t xml:space="preserve">Q.5. </w:t>
            </w:r>
            <w:r w:rsidRPr="00E93873">
              <w:rPr>
                <w:rFonts w:ascii="PT Serif" w:hAnsi="PT Serif" w:cs="Times New Roman"/>
                <w:sz w:val="20"/>
                <w:szCs w:val="20"/>
                <w:lang w:val="it-IT"/>
              </w:rPr>
              <w:t>Si ritiene che le modifiche proposte all’art. 45 del Regolamento Mercati siano sufficientemente chiare nel disciplinare le informazioni da trasmettere alla Consob ai fini della registrazione dei mercati di crescita per le PMI, tenuto conto della possibilità che la relativa qualifica sia attribuita anche a singoli segmenti di sistemi multilaterali di negoziazione? Si invitano i rispondenti a segnalare eventuali criticità applicative connesse all’ammissione alla negoziazione di strumenti finanziari già negoziati su altra sede.</w:t>
            </w:r>
          </w:p>
        </w:tc>
        <w:tc>
          <w:tcPr>
            <w:tcW w:w="2172" w:type="pct"/>
          </w:tcPr>
          <w:p w14:paraId="1E670E99" w14:textId="77777777" w:rsidR="00E93873" w:rsidRPr="00E93873" w:rsidRDefault="00E93873" w:rsidP="00EA458D">
            <w:pPr>
              <w:rPr>
                <w:rFonts w:ascii="PT Serif" w:hAnsi="PT Serif" w:cs="Times New Roman"/>
                <w:sz w:val="20"/>
                <w:szCs w:val="20"/>
                <w:lang w:val="it-IT"/>
              </w:rPr>
            </w:pPr>
          </w:p>
        </w:tc>
      </w:tr>
      <w:tr w:rsidR="00E93873" w:rsidRPr="00E93873" w14:paraId="1252D41F" w14:textId="77777777" w:rsidTr="00EA458D">
        <w:tc>
          <w:tcPr>
            <w:tcW w:w="5000" w:type="pct"/>
            <w:gridSpan w:val="2"/>
            <w:shd w:val="clear" w:color="auto" w:fill="F1A983" w:themeFill="accent2" w:themeFillTint="99"/>
          </w:tcPr>
          <w:p w14:paraId="26D346E0" w14:textId="77777777" w:rsidR="00E93873" w:rsidRPr="00E93873" w:rsidRDefault="00E93873" w:rsidP="00400FFB">
            <w:pPr>
              <w:spacing w:after="0"/>
              <w:rPr>
                <w:rFonts w:ascii="PT Serif" w:hAnsi="PT Serif" w:cs="Times New Roman"/>
                <w:sz w:val="20"/>
                <w:szCs w:val="20"/>
                <w:lang w:val="it-IT"/>
              </w:rPr>
            </w:pPr>
            <w:r w:rsidRPr="00E93873">
              <w:rPr>
                <w:rFonts w:ascii="PT Serif" w:hAnsi="PT Serif" w:cs="Times New Roman"/>
                <w:b/>
                <w:i/>
                <w:sz w:val="20"/>
                <w:szCs w:val="20"/>
                <w:lang w:val="it-IT"/>
              </w:rPr>
              <w:t>1.3 Disciplina della ricerca finanziaria</w:t>
            </w:r>
          </w:p>
        </w:tc>
      </w:tr>
      <w:tr w:rsidR="00E93873" w:rsidRPr="00E93873" w14:paraId="278E23E3" w14:textId="77777777" w:rsidTr="00400FFB">
        <w:tc>
          <w:tcPr>
            <w:tcW w:w="2828" w:type="pct"/>
          </w:tcPr>
          <w:p w14:paraId="0EA06D73" w14:textId="77777777" w:rsidR="00E93873" w:rsidRPr="00E93873" w:rsidRDefault="00E93873" w:rsidP="00400FFB">
            <w:pPr>
              <w:ind w:left="596" w:hanging="426"/>
              <w:jc w:val="both"/>
              <w:rPr>
                <w:rFonts w:ascii="PT Serif" w:hAnsi="PT Serif" w:cs="Times New Roman"/>
                <w:sz w:val="20"/>
                <w:szCs w:val="20"/>
                <w:lang w:val="it-IT"/>
              </w:rPr>
            </w:pPr>
            <w:r w:rsidRPr="00E93873">
              <w:rPr>
                <w:rFonts w:ascii="PT Serif" w:hAnsi="PT Serif" w:cs="Times New Roman"/>
                <w:b/>
                <w:bCs/>
                <w:sz w:val="20"/>
                <w:szCs w:val="20"/>
                <w:lang w:val="it-IT"/>
              </w:rPr>
              <w:t>Q.6.</w:t>
            </w:r>
            <w:r w:rsidRPr="00E93873">
              <w:rPr>
                <w:rFonts w:ascii="PT Serif" w:hAnsi="PT Serif" w:cs="Times New Roman"/>
                <w:sz w:val="20"/>
                <w:szCs w:val="20"/>
                <w:lang w:val="it-IT"/>
              </w:rPr>
              <w:t xml:space="preserve"> Si condivide la previsione di una disposizione transitoria volta a stabilire che gli obblighi in materia di ricerca sponsorizzata dall’emittente si applichino decorsi tre mesi dalla data di</w:t>
            </w:r>
            <w:r w:rsidRPr="00E93873">
              <w:rPr>
                <w:rFonts w:ascii="PT Serif" w:hAnsi="PT Serif"/>
                <w:lang w:val="it-IT"/>
              </w:rPr>
              <w:t xml:space="preserve"> e</w:t>
            </w:r>
            <w:r w:rsidRPr="00E93873">
              <w:rPr>
                <w:rFonts w:ascii="PT Serif" w:hAnsi="PT Serif" w:cs="Times New Roman"/>
                <w:sz w:val="20"/>
                <w:szCs w:val="20"/>
                <w:lang w:val="it-IT"/>
              </w:rPr>
              <w:t>ntrata in vigore delle norme tecniche di regolamentazione istitutive del codice di condotta dell’UE</w:t>
            </w:r>
            <w:r w:rsidRPr="00E93873">
              <w:rPr>
                <w:rFonts w:ascii="PT Serif" w:eastAsiaTheme="minorHAnsi" w:hAnsi="PT Serif" w:cs="Times New Roman"/>
                <w:sz w:val="24"/>
                <w:szCs w:val="28"/>
                <w:lang w:val="it-IT"/>
              </w:rPr>
              <w:t xml:space="preserve"> </w:t>
            </w:r>
            <w:r w:rsidRPr="00E93873">
              <w:rPr>
                <w:rFonts w:ascii="PT Serif" w:hAnsi="PT Serif" w:cs="Times New Roman"/>
                <w:sz w:val="20"/>
                <w:szCs w:val="20"/>
                <w:lang w:val="it-IT"/>
              </w:rPr>
              <w:t>per consentire agli operatori di disporre del tempo necessario per adeguare, ove opportuno, i propri assetti contrattuali, organizzativi e procedurali?</w:t>
            </w:r>
          </w:p>
        </w:tc>
        <w:tc>
          <w:tcPr>
            <w:tcW w:w="2172" w:type="pct"/>
          </w:tcPr>
          <w:p w14:paraId="3B93937E" w14:textId="77777777" w:rsidR="00E93873" w:rsidRPr="00E93873" w:rsidRDefault="00E93873" w:rsidP="00EA458D">
            <w:pPr>
              <w:rPr>
                <w:rFonts w:ascii="PT Serif" w:hAnsi="PT Serif" w:cs="Times New Roman"/>
                <w:sz w:val="20"/>
                <w:szCs w:val="20"/>
                <w:lang w:val="it-IT"/>
              </w:rPr>
            </w:pPr>
          </w:p>
        </w:tc>
      </w:tr>
      <w:tr w:rsidR="00E93873" w:rsidRPr="00E93873" w14:paraId="4276E41D" w14:textId="77777777" w:rsidTr="00400FFB">
        <w:tc>
          <w:tcPr>
            <w:tcW w:w="2828" w:type="pct"/>
          </w:tcPr>
          <w:p w14:paraId="13039083" w14:textId="77777777" w:rsidR="00E93873" w:rsidRPr="00E93873" w:rsidRDefault="00E93873" w:rsidP="00400FFB">
            <w:pPr>
              <w:ind w:left="596" w:hanging="425"/>
              <w:jc w:val="both"/>
              <w:rPr>
                <w:rFonts w:ascii="PT Serif" w:hAnsi="PT Serif" w:cs="Times New Roman"/>
                <w:sz w:val="20"/>
                <w:szCs w:val="20"/>
                <w:lang w:val="it-IT"/>
              </w:rPr>
            </w:pPr>
            <w:r w:rsidRPr="00E93873">
              <w:rPr>
                <w:rFonts w:ascii="PT Serif" w:hAnsi="PT Serif" w:cs="Times New Roman"/>
                <w:b/>
                <w:sz w:val="20"/>
                <w:szCs w:val="20"/>
                <w:lang w:val="it-IT"/>
              </w:rPr>
              <w:lastRenderedPageBreak/>
              <w:t>Q.7.</w:t>
            </w:r>
            <w:r w:rsidRPr="00E93873">
              <w:rPr>
                <w:rFonts w:ascii="PT Serif" w:hAnsi="PT Serif" w:cs="Times New Roman"/>
                <w:sz w:val="20"/>
                <w:szCs w:val="20"/>
                <w:lang w:val="it-IT"/>
              </w:rPr>
              <w:t xml:space="preserve"> Si ritiene che la formulazione delle disposizioni proposte in materia di ricerca finanziaria sia sufficientemente chiara, coerente con il quadro normativo di riferimento e idonea ad assicurarne l’effettiva applicabilità da parte degli operatori interessati?</w:t>
            </w:r>
          </w:p>
        </w:tc>
        <w:tc>
          <w:tcPr>
            <w:tcW w:w="2172" w:type="pct"/>
          </w:tcPr>
          <w:p w14:paraId="0ACBAB4A" w14:textId="77777777" w:rsidR="00E93873" w:rsidRPr="00E93873" w:rsidRDefault="00E93873" w:rsidP="00EA458D">
            <w:pPr>
              <w:rPr>
                <w:rFonts w:ascii="PT Serif" w:hAnsi="PT Serif" w:cs="Times New Roman"/>
                <w:sz w:val="20"/>
                <w:szCs w:val="20"/>
                <w:lang w:val="it-IT"/>
              </w:rPr>
            </w:pPr>
          </w:p>
        </w:tc>
      </w:tr>
      <w:tr w:rsidR="00E93873" w:rsidRPr="00E93873" w14:paraId="0FDDBDC4" w14:textId="77777777" w:rsidTr="00EA458D">
        <w:tc>
          <w:tcPr>
            <w:tcW w:w="5000" w:type="pct"/>
            <w:gridSpan w:val="2"/>
            <w:shd w:val="clear" w:color="auto" w:fill="F1A983" w:themeFill="accent2" w:themeFillTint="99"/>
          </w:tcPr>
          <w:p w14:paraId="661A0925" w14:textId="77777777" w:rsidR="00E93873" w:rsidRPr="00E93873" w:rsidRDefault="00E93873" w:rsidP="00400FFB">
            <w:pPr>
              <w:spacing w:after="0"/>
              <w:rPr>
                <w:rFonts w:ascii="PT Serif" w:hAnsi="PT Serif" w:cs="Times New Roman"/>
                <w:sz w:val="20"/>
                <w:szCs w:val="20"/>
                <w:lang w:val="it-IT"/>
              </w:rPr>
            </w:pPr>
            <w:r w:rsidRPr="00E93873">
              <w:rPr>
                <w:rFonts w:ascii="PT Serif" w:hAnsi="PT Serif" w:cs="Times New Roman"/>
                <w:b/>
                <w:bCs/>
                <w:smallCaps/>
                <w:sz w:val="20"/>
                <w:szCs w:val="20"/>
                <w:lang w:val="it-IT"/>
              </w:rPr>
              <w:t>Parte II - Coordinamento della disciplina dell’OPA con il D. Lgs. n. 47/2026 di riforma del TUF</w:t>
            </w:r>
          </w:p>
        </w:tc>
      </w:tr>
      <w:tr w:rsidR="00E93873" w:rsidRPr="00E93873" w14:paraId="2C2A076B" w14:textId="77777777" w:rsidTr="00400FFB">
        <w:tc>
          <w:tcPr>
            <w:tcW w:w="2828" w:type="pct"/>
          </w:tcPr>
          <w:p w14:paraId="48C5BC34" w14:textId="77777777" w:rsidR="00E93873" w:rsidRPr="00E93873" w:rsidRDefault="00E93873" w:rsidP="00400FFB">
            <w:pPr>
              <w:spacing w:after="0"/>
              <w:ind w:left="596" w:hanging="425"/>
              <w:jc w:val="both"/>
              <w:rPr>
                <w:rFonts w:ascii="PT Serif" w:hAnsi="PT Serif" w:cs="Times New Roman"/>
                <w:sz w:val="20"/>
                <w:szCs w:val="20"/>
                <w:lang w:val="it-IT"/>
              </w:rPr>
            </w:pPr>
            <w:r w:rsidRPr="00E93873">
              <w:rPr>
                <w:rFonts w:ascii="PT Serif" w:hAnsi="PT Serif" w:cs="Times New Roman"/>
                <w:b/>
                <w:sz w:val="20"/>
                <w:szCs w:val="20"/>
                <w:lang w:val="it-IT"/>
              </w:rPr>
              <w:t>Q.8.</w:t>
            </w:r>
            <w:r w:rsidRPr="00E93873">
              <w:rPr>
                <w:rFonts w:ascii="PT Serif" w:hAnsi="PT Serif" w:cs="Times New Roman"/>
                <w:sz w:val="20"/>
                <w:szCs w:val="20"/>
                <w:lang w:val="it-IT"/>
              </w:rPr>
              <w:t xml:space="preserve"> Si ritiene che la formulazione delle disposizioni proposte in materia di OPA, volte ad assicurare il coordinamento con le modifiche introdotte dal d.lgs. n. 47/2026 al TUF, siano sufficientemente chiare e coerenti con il nuovo quadro normativo primario, nonché idonea a evitare incertezze interpretative o criticità applicative per gli operatori interessati? In caso contrario, si prega di fornire una proposta indicando le motivazioni a supporto.</w:t>
            </w:r>
          </w:p>
          <w:p w14:paraId="64D1F2FA" w14:textId="77777777" w:rsidR="00E93873" w:rsidRPr="00E93873" w:rsidRDefault="00E93873" w:rsidP="00400FFB">
            <w:pPr>
              <w:spacing w:after="0"/>
              <w:ind w:left="360"/>
              <w:jc w:val="both"/>
              <w:rPr>
                <w:rFonts w:ascii="PT Serif" w:hAnsi="PT Serif" w:cs="Times New Roman"/>
                <w:sz w:val="20"/>
                <w:szCs w:val="20"/>
                <w:lang w:val="it-IT"/>
              </w:rPr>
            </w:pPr>
          </w:p>
        </w:tc>
        <w:tc>
          <w:tcPr>
            <w:tcW w:w="2172" w:type="pct"/>
          </w:tcPr>
          <w:p w14:paraId="656343B9" w14:textId="77777777" w:rsidR="00E93873" w:rsidRPr="00E93873" w:rsidRDefault="00E93873" w:rsidP="00EA458D">
            <w:pPr>
              <w:rPr>
                <w:rFonts w:ascii="PT Serif" w:hAnsi="PT Serif" w:cs="Times New Roman"/>
                <w:sz w:val="20"/>
                <w:szCs w:val="20"/>
                <w:lang w:val="it-IT"/>
              </w:rPr>
            </w:pPr>
          </w:p>
        </w:tc>
      </w:tr>
      <w:tr w:rsidR="00E93873" w:rsidRPr="00E93873" w14:paraId="7696FD51" w14:textId="77777777" w:rsidTr="00400FFB">
        <w:tc>
          <w:tcPr>
            <w:tcW w:w="2828" w:type="pct"/>
          </w:tcPr>
          <w:p w14:paraId="636B6D55" w14:textId="77777777" w:rsidR="00E93873" w:rsidRPr="00E93873" w:rsidRDefault="00E93873" w:rsidP="00400FFB">
            <w:pPr>
              <w:spacing w:after="0"/>
              <w:ind w:left="596" w:hanging="425"/>
              <w:jc w:val="both"/>
              <w:rPr>
                <w:rFonts w:ascii="PT Serif" w:hAnsi="PT Serif" w:cs="Times New Roman"/>
                <w:sz w:val="20"/>
                <w:szCs w:val="20"/>
                <w:lang w:val="it-IT"/>
              </w:rPr>
            </w:pPr>
            <w:r w:rsidRPr="00E93873">
              <w:rPr>
                <w:rFonts w:ascii="PT Serif" w:hAnsi="PT Serif" w:cs="Times New Roman"/>
                <w:b/>
                <w:sz w:val="20"/>
                <w:szCs w:val="20"/>
                <w:lang w:val="it-IT"/>
              </w:rPr>
              <w:t>Q.9.</w:t>
            </w:r>
            <w:r w:rsidRPr="00E93873">
              <w:rPr>
                <w:rFonts w:ascii="PT Serif" w:hAnsi="PT Serif" w:cs="Times New Roman"/>
                <w:sz w:val="20"/>
                <w:szCs w:val="20"/>
                <w:lang w:val="it-IT"/>
              </w:rPr>
              <w:t xml:space="preserve"> Si ritiene di formulare ulteriori osservazioni sui temi oggetto della presente consultazione e/o sulle proposte redazionali riportate nella tabella? In caso affermativo, si invitano i rispondenti a indicare eventuali profili di chiarimento, integrazione o affinamento del testo regolamentare.</w:t>
            </w:r>
          </w:p>
        </w:tc>
        <w:tc>
          <w:tcPr>
            <w:tcW w:w="2172" w:type="pct"/>
          </w:tcPr>
          <w:p w14:paraId="2B4E5170" w14:textId="77777777" w:rsidR="00E93873" w:rsidRPr="00E93873" w:rsidRDefault="00E93873" w:rsidP="00EA458D">
            <w:pPr>
              <w:rPr>
                <w:rFonts w:ascii="PT Serif" w:hAnsi="PT Serif" w:cs="Times New Roman"/>
                <w:sz w:val="20"/>
                <w:szCs w:val="20"/>
                <w:lang w:val="it-IT"/>
              </w:rPr>
            </w:pPr>
          </w:p>
        </w:tc>
      </w:tr>
    </w:tbl>
    <w:p w14:paraId="5BBC8E81" w14:textId="77777777" w:rsidR="008905B7" w:rsidRPr="00E93873" w:rsidRDefault="008905B7">
      <w:pPr>
        <w:rPr>
          <w:rFonts w:ascii="PT Serif" w:hAnsi="PT Serif"/>
        </w:rPr>
      </w:pPr>
    </w:p>
    <w:sectPr w:rsidR="008905B7" w:rsidRPr="00E93873" w:rsidSect="00400FFB">
      <w:headerReference w:type="even" r:id="rId6"/>
      <w:headerReference w:type="default" r:id="rId7"/>
      <w:footerReference w:type="even" r:id="rId8"/>
      <w:footerReference w:type="default" r:id="rId9"/>
      <w:headerReference w:type="first" r:id="rId10"/>
      <w:footerReference w:type="first" r:id="rId11"/>
      <w:pgSz w:w="16838" w:h="11906"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1A851" w14:textId="77777777" w:rsidR="00516C39" w:rsidRDefault="00516C39" w:rsidP="00E93873">
      <w:pPr>
        <w:spacing w:after="0" w:line="240" w:lineRule="auto"/>
      </w:pPr>
      <w:r>
        <w:separator/>
      </w:r>
    </w:p>
  </w:endnote>
  <w:endnote w:type="continuationSeparator" w:id="0">
    <w:p w14:paraId="55C37E4F" w14:textId="77777777" w:rsidR="00516C39" w:rsidRDefault="00516C39" w:rsidP="00E93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T Serif">
    <w:panose1 w:val="020A0603040505020204"/>
    <w:charset w:val="00"/>
    <w:family w:val="roman"/>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524E2" w14:textId="77777777" w:rsidR="00E93873" w:rsidRDefault="00E9387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5891867"/>
      <w:docPartObj>
        <w:docPartGallery w:val="Page Numbers (Bottom of Page)"/>
        <w:docPartUnique/>
      </w:docPartObj>
    </w:sdtPr>
    <w:sdtContent>
      <w:p w14:paraId="03901D32" w14:textId="4778DE6B" w:rsidR="00E93873" w:rsidRDefault="00E93873">
        <w:pPr>
          <w:pStyle w:val="Pidipagina"/>
          <w:jc w:val="center"/>
        </w:pPr>
        <w:r>
          <w:fldChar w:fldCharType="begin"/>
        </w:r>
        <w:r>
          <w:instrText>PAGE   \* MERGEFORMAT</w:instrText>
        </w:r>
        <w:r>
          <w:fldChar w:fldCharType="separate"/>
        </w:r>
        <w:r>
          <w:t>2</w:t>
        </w:r>
        <w:r>
          <w:fldChar w:fldCharType="end"/>
        </w:r>
      </w:p>
    </w:sdtContent>
  </w:sdt>
  <w:p w14:paraId="297C381C" w14:textId="77777777" w:rsidR="00E93873" w:rsidRDefault="00E93873">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E701F" w14:textId="77777777" w:rsidR="00E93873" w:rsidRDefault="00E9387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8B16F" w14:textId="77777777" w:rsidR="00516C39" w:rsidRDefault="00516C39" w:rsidP="00E93873">
      <w:pPr>
        <w:spacing w:after="0" w:line="240" w:lineRule="auto"/>
      </w:pPr>
      <w:r>
        <w:separator/>
      </w:r>
    </w:p>
  </w:footnote>
  <w:footnote w:type="continuationSeparator" w:id="0">
    <w:p w14:paraId="0BB355AA" w14:textId="77777777" w:rsidR="00516C39" w:rsidRDefault="00516C39" w:rsidP="00E93873">
      <w:pPr>
        <w:spacing w:after="0" w:line="240" w:lineRule="auto"/>
      </w:pPr>
      <w:r>
        <w:continuationSeparator/>
      </w:r>
    </w:p>
  </w:footnote>
  <w:footnote w:id="1">
    <w:p w14:paraId="1980FF25" w14:textId="77777777" w:rsidR="00E93873" w:rsidRDefault="00E93873" w:rsidP="00E93873">
      <w:pPr>
        <w:pStyle w:val="Testonotaapidipagina"/>
        <w:spacing w:line="240" w:lineRule="auto"/>
      </w:pPr>
      <w:r>
        <w:rPr>
          <w:rStyle w:val="Rimandonotaapidipagina"/>
        </w:rPr>
        <w:footnoteRef/>
      </w:r>
      <w:r>
        <w:t xml:space="preserve"> I commenti pervenuti saranno pubblicati nel sito internet della Consob corredati della indicazione del nome e cognome del loro autore, salva espressa richiesta di non divulgarli.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2C73" w14:textId="77777777" w:rsidR="00E93873" w:rsidRDefault="00E9387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3D583" w14:textId="54240D95" w:rsidR="00E93873" w:rsidRDefault="00E93873" w:rsidP="00E93873">
    <w:pPr>
      <w:pStyle w:val="Intestazione"/>
      <w:jc w:val="center"/>
    </w:pPr>
    <w:r>
      <w:rPr>
        <w:noProof/>
      </w:rPr>
      <w:drawing>
        <wp:inline distT="0" distB="0" distL="0" distR="0" wp14:anchorId="062A01CC" wp14:editId="14939B78">
          <wp:extent cx="933450" cy="428625"/>
          <wp:effectExtent l="19050" t="0" r="0" b="0"/>
          <wp:docPr id="3" name="Immagine 3" descr="Scansione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ansione0001"/>
                  <pic:cNvPicPr>
                    <a:picLocks noChangeAspect="1" noChangeArrowheads="1"/>
                  </pic:cNvPicPr>
                </pic:nvPicPr>
                <pic:blipFill>
                  <a:blip r:embed="rId1"/>
                  <a:srcRect/>
                  <a:stretch>
                    <a:fillRect/>
                  </a:stretch>
                </pic:blipFill>
                <pic:spPr bwMode="auto">
                  <a:xfrm>
                    <a:off x="0" y="0"/>
                    <a:ext cx="933450" cy="42862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611FC" w14:textId="77777777" w:rsidR="00E93873" w:rsidRDefault="00E93873">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873"/>
    <w:rsid w:val="0000026A"/>
    <w:rsid w:val="00000485"/>
    <w:rsid w:val="00004A37"/>
    <w:rsid w:val="00012155"/>
    <w:rsid w:val="0001570F"/>
    <w:rsid w:val="000160E8"/>
    <w:rsid w:val="00016D0E"/>
    <w:rsid w:val="00020D25"/>
    <w:rsid w:val="00025A9E"/>
    <w:rsid w:val="00026D9E"/>
    <w:rsid w:val="00027EBD"/>
    <w:rsid w:val="0003618C"/>
    <w:rsid w:val="000403FF"/>
    <w:rsid w:val="00042A7E"/>
    <w:rsid w:val="00046C56"/>
    <w:rsid w:val="00052317"/>
    <w:rsid w:val="00060275"/>
    <w:rsid w:val="0006041F"/>
    <w:rsid w:val="00060528"/>
    <w:rsid w:val="00061ECC"/>
    <w:rsid w:val="00061F1D"/>
    <w:rsid w:val="00062061"/>
    <w:rsid w:val="000638B7"/>
    <w:rsid w:val="00070B38"/>
    <w:rsid w:val="00077FD1"/>
    <w:rsid w:val="000808C5"/>
    <w:rsid w:val="0008234E"/>
    <w:rsid w:val="0008272D"/>
    <w:rsid w:val="00082744"/>
    <w:rsid w:val="00087D9B"/>
    <w:rsid w:val="00090AF8"/>
    <w:rsid w:val="00095495"/>
    <w:rsid w:val="000962DF"/>
    <w:rsid w:val="000A1701"/>
    <w:rsid w:val="000A4F59"/>
    <w:rsid w:val="000B0AD4"/>
    <w:rsid w:val="000B1825"/>
    <w:rsid w:val="000B1F7B"/>
    <w:rsid w:val="000B3A89"/>
    <w:rsid w:val="000B4832"/>
    <w:rsid w:val="000D1203"/>
    <w:rsid w:val="000D14E5"/>
    <w:rsid w:val="000D2CFB"/>
    <w:rsid w:val="000D417D"/>
    <w:rsid w:val="000D4EB7"/>
    <w:rsid w:val="000E0A5B"/>
    <w:rsid w:val="000E1250"/>
    <w:rsid w:val="000E4064"/>
    <w:rsid w:val="000E4E43"/>
    <w:rsid w:val="000E567B"/>
    <w:rsid w:val="000F47FC"/>
    <w:rsid w:val="00101080"/>
    <w:rsid w:val="001104D7"/>
    <w:rsid w:val="00112DAD"/>
    <w:rsid w:val="00114EA0"/>
    <w:rsid w:val="001157D1"/>
    <w:rsid w:val="001217C2"/>
    <w:rsid w:val="001261CF"/>
    <w:rsid w:val="00133D66"/>
    <w:rsid w:val="00133DB5"/>
    <w:rsid w:val="0014009C"/>
    <w:rsid w:val="00141B04"/>
    <w:rsid w:val="001443D2"/>
    <w:rsid w:val="001443DF"/>
    <w:rsid w:val="00145A83"/>
    <w:rsid w:val="00145EBE"/>
    <w:rsid w:val="00154352"/>
    <w:rsid w:val="00155546"/>
    <w:rsid w:val="001562FE"/>
    <w:rsid w:val="00160F2E"/>
    <w:rsid w:val="00165E13"/>
    <w:rsid w:val="0016749D"/>
    <w:rsid w:val="00170A1C"/>
    <w:rsid w:val="00175566"/>
    <w:rsid w:val="0017702F"/>
    <w:rsid w:val="001827E3"/>
    <w:rsid w:val="001860C5"/>
    <w:rsid w:val="00193816"/>
    <w:rsid w:val="001A0B49"/>
    <w:rsid w:val="001A0CB6"/>
    <w:rsid w:val="001A14DA"/>
    <w:rsid w:val="001A2E90"/>
    <w:rsid w:val="001A316D"/>
    <w:rsid w:val="001A5203"/>
    <w:rsid w:val="001A7A07"/>
    <w:rsid w:val="001B1894"/>
    <w:rsid w:val="001B4205"/>
    <w:rsid w:val="001B555E"/>
    <w:rsid w:val="001C21CE"/>
    <w:rsid w:val="001C5AD2"/>
    <w:rsid w:val="001C73E6"/>
    <w:rsid w:val="001C79AE"/>
    <w:rsid w:val="001C7B30"/>
    <w:rsid w:val="001D3355"/>
    <w:rsid w:val="001D37DA"/>
    <w:rsid w:val="001D5277"/>
    <w:rsid w:val="001E0AD7"/>
    <w:rsid w:val="001E2153"/>
    <w:rsid w:val="001F2811"/>
    <w:rsid w:val="001F3F4C"/>
    <w:rsid w:val="001F4199"/>
    <w:rsid w:val="002027FD"/>
    <w:rsid w:val="00204D83"/>
    <w:rsid w:val="0020742B"/>
    <w:rsid w:val="00207809"/>
    <w:rsid w:val="002150DF"/>
    <w:rsid w:val="00221A49"/>
    <w:rsid w:val="0022568D"/>
    <w:rsid w:val="00227A6D"/>
    <w:rsid w:val="00230285"/>
    <w:rsid w:val="00234F25"/>
    <w:rsid w:val="002358BF"/>
    <w:rsid w:val="00244E44"/>
    <w:rsid w:val="00253765"/>
    <w:rsid w:val="00256F0E"/>
    <w:rsid w:val="00261D68"/>
    <w:rsid w:val="00270AE3"/>
    <w:rsid w:val="00273C2B"/>
    <w:rsid w:val="0027597D"/>
    <w:rsid w:val="00276D50"/>
    <w:rsid w:val="00282F9B"/>
    <w:rsid w:val="00287C4D"/>
    <w:rsid w:val="002954CC"/>
    <w:rsid w:val="00296B14"/>
    <w:rsid w:val="002A1B75"/>
    <w:rsid w:val="002A3559"/>
    <w:rsid w:val="002A4D28"/>
    <w:rsid w:val="002A76FA"/>
    <w:rsid w:val="002B703B"/>
    <w:rsid w:val="002C0C4C"/>
    <w:rsid w:val="002C2E58"/>
    <w:rsid w:val="002C4AF8"/>
    <w:rsid w:val="002C4C47"/>
    <w:rsid w:val="002C4F02"/>
    <w:rsid w:val="002D4F79"/>
    <w:rsid w:val="002D7FF0"/>
    <w:rsid w:val="002E2D03"/>
    <w:rsid w:val="002E6793"/>
    <w:rsid w:val="002E77B8"/>
    <w:rsid w:val="002F046D"/>
    <w:rsid w:val="002F0FF3"/>
    <w:rsid w:val="002F1A3F"/>
    <w:rsid w:val="002F1FEC"/>
    <w:rsid w:val="002F22A7"/>
    <w:rsid w:val="002F3923"/>
    <w:rsid w:val="003019B1"/>
    <w:rsid w:val="00304C03"/>
    <w:rsid w:val="00305315"/>
    <w:rsid w:val="0031112E"/>
    <w:rsid w:val="00312A89"/>
    <w:rsid w:val="003140E5"/>
    <w:rsid w:val="00314420"/>
    <w:rsid w:val="003148A6"/>
    <w:rsid w:val="00317723"/>
    <w:rsid w:val="003212C5"/>
    <w:rsid w:val="003227BC"/>
    <w:rsid w:val="003230CF"/>
    <w:rsid w:val="00331659"/>
    <w:rsid w:val="0033438E"/>
    <w:rsid w:val="0033544C"/>
    <w:rsid w:val="0033781B"/>
    <w:rsid w:val="00340007"/>
    <w:rsid w:val="00342067"/>
    <w:rsid w:val="00342125"/>
    <w:rsid w:val="0034557E"/>
    <w:rsid w:val="00352F9B"/>
    <w:rsid w:val="003564E9"/>
    <w:rsid w:val="003609C7"/>
    <w:rsid w:val="00363DE9"/>
    <w:rsid w:val="00365370"/>
    <w:rsid w:val="00365C2A"/>
    <w:rsid w:val="00365CB5"/>
    <w:rsid w:val="003713AF"/>
    <w:rsid w:val="003729F2"/>
    <w:rsid w:val="003817AE"/>
    <w:rsid w:val="00393644"/>
    <w:rsid w:val="00397851"/>
    <w:rsid w:val="003A3239"/>
    <w:rsid w:val="003A6CA8"/>
    <w:rsid w:val="003B310C"/>
    <w:rsid w:val="003B77FB"/>
    <w:rsid w:val="003C0967"/>
    <w:rsid w:val="003C4942"/>
    <w:rsid w:val="003C4FB3"/>
    <w:rsid w:val="003C54A3"/>
    <w:rsid w:val="003C7FAD"/>
    <w:rsid w:val="003D5E45"/>
    <w:rsid w:val="003D7CBE"/>
    <w:rsid w:val="003E5962"/>
    <w:rsid w:val="003F1EC4"/>
    <w:rsid w:val="003F2BF1"/>
    <w:rsid w:val="003F2E65"/>
    <w:rsid w:val="003F3D37"/>
    <w:rsid w:val="003F4E6B"/>
    <w:rsid w:val="0040049A"/>
    <w:rsid w:val="00400FFB"/>
    <w:rsid w:val="00402E64"/>
    <w:rsid w:val="00404A5E"/>
    <w:rsid w:val="004107D8"/>
    <w:rsid w:val="00411A8D"/>
    <w:rsid w:val="004138FE"/>
    <w:rsid w:val="00415BCE"/>
    <w:rsid w:val="0042071D"/>
    <w:rsid w:val="004231F4"/>
    <w:rsid w:val="004246E5"/>
    <w:rsid w:val="00424924"/>
    <w:rsid w:val="004254A9"/>
    <w:rsid w:val="00430C10"/>
    <w:rsid w:val="00431905"/>
    <w:rsid w:val="0043290C"/>
    <w:rsid w:val="00437732"/>
    <w:rsid w:val="004447DE"/>
    <w:rsid w:val="00445F73"/>
    <w:rsid w:val="00446930"/>
    <w:rsid w:val="0044757C"/>
    <w:rsid w:val="004521DC"/>
    <w:rsid w:val="004539F6"/>
    <w:rsid w:val="00454F86"/>
    <w:rsid w:val="0045640D"/>
    <w:rsid w:val="0046145E"/>
    <w:rsid w:val="00464BF5"/>
    <w:rsid w:val="00474182"/>
    <w:rsid w:val="00474A5C"/>
    <w:rsid w:val="0047794B"/>
    <w:rsid w:val="00491650"/>
    <w:rsid w:val="004933E9"/>
    <w:rsid w:val="00493A3F"/>
    <w:rsid w:val="004B2761"/>
    <w:rsid w:val="004B2A6B"/>
    <w:rsid w:val="004B3D46"/>
    <w:rsid w:val="004C38DA"/>
    <w:rsid w:val="004D1A29"/>
    <w:rsid w:val="004D7F79"/>
    <w:rsid w:val="004F0340"/>
    <w:rsid w:val="004F179A"/>
    <w:rsid w:val="004F1CA5"/>
    <w:rsid w:val="004F5845"/>
    <w:rsid w:val="004F63E7"/>
    <w:rsid w:val="005031FD"/>
    <w:rsid w:val="00507059"/>
    <w:rsid w:val="00512E0B"/>
    <w:rsid w:val="0051615B"/>
    <w:rsid w:val="005165AF"/>
    <w:rsid w:val="00516C39"/>
    <w:rsid w:val="00521636"/>
    <w:rsid w:val="00521A7D"/>
    <w:rsid w:val="00523ECE"/>
    <w:rsid w:val="00523F90"/>
    <w:rsid w:val="00525B83"/>
    <w:rsid w:val="005311BA"/>
    <w:rsid w:val="00531DCC"/>
    <w:rsid w:val="00532BF7"/>
    <w:rsid w:val="00543554"/>
    <w:rsid w:val="0054503F"/>
    <w:rsid w:val="00545440"/>
    <w:rsid w:val="00545644"/>
    <w:rsid w:val="005468E3"/>
    <w:rsid w:val="0054705B"/>
    <w:rsid w:val="005510A9"/>
    <w:rsid w:val="0055670E"/>
    <w:rsid w:val="00571721"/>
    <w:rsid w:val="00575A1B"/>
    <w:rsid w:val="005844DC"/>
    <w:rsid w:val="00593E6D"/>
    <w:rsid w:val="00595356"/>
    <w:rsid w:val="005A2C35"/>
    <w:rsid w:val="005A6565"/>
    <w:rsid w:val="005B1342"/>
    <w:rsid w:val="005C327A"/>
    <w:rsid w:val="005C33D3"/>
    <w:rsid w:val="005D142E"/>
    <w:rsid w:val="005D72DE"/>
    <w:rsid w:val="005E30ED"/>
    <w:rsid w:val="005E39B5"/>
    <w:rsid w:val="005E41E3"/>
    <w:rsid w:val="005F0194"/>
    <w:rsid w:val="005F4FFC"/>
    <w:rsid w:val="005F6216"/>
    <w:rsid w:val="00602F2D"/>
    <w:rsid w:val="006041F8"/>
    <w:rsid w:val="00607264"/>
    <w:rsid w:val="0061006F"/>
    <w:rsid w:val="006134C2"/>
    <w:rsid w:val="006138FB"/>
    <w:rsid w:val="00615806"/>
    <w:rsid w:val="00617E0F"/>
    <w:rsid w:val="00620C5D"/>
    <w:rsid w:val="00621CFD"/>
    <w:rsid w:val="0062734D"/>
    <w:rsid w:val="00635939"/>
    <w:rsid w:val="0064032C"/>
    <w:rsid w:val="00641BE0"/>
    <w:rsid w:val="0064332B"/>
    <w:rsid w:val="00644FA3"/>
    <w:rsid w:val="006462AC"/>
    <w:rsid w:val="00651133"/>
    <w:rsid w:val="0065573E"/>
    <w:rsid w:val="006557A5"/>
    <w:rsid w:val="0065600E"/>
    <w:rsid w:val="006568B9"/>
    <w:rsid w:val="00657A7E"/>
    <w:rsid w:val="006632FB"/>
    <w:rsid w:val="006726EE"/>
    <w:rsid w:val="0067720E"/>
    <w:rsid w:val="00684C29"/>
    <w:rsid w:val="006867C0"/>
    <w:rsid w:val="00687AA9"/>
    <w:rsid w:val="006918D2"/>
    <w:rsid w:val="00692008"/>
    <w:rsid w:val="00694089"/>
    <w:rsid w:val="006969D4"/>
    <w:rsid w:val="00697883"/>
    <w:rsid w:val="006978DF"/>
    <w:rsid w:val="006A29F2"/>
    <w:rsid w:val="006A2DC1"/>
    <w:rsid w:val="006A71BB"/>
    <w:rsid w:val="006B3478"/>
    <w:rsid w:val="006B3623"/>
    <w:rsid w:val="006B41E6"/>
    <w:rsid w:val="006B6005"/>
    <w:rsid w:val="006B7016"/>
    <w:rsid w:val="006C3727"/>
    <w:rsid w:val="006D2E39"/>
    <w:rsid w:val="006D40CC"/>
    <w:rsid w:val="006D72A4"/>
    <w:rsid w:val="006E2B95"/>
    <w:rsid w:val="006E4F14"/>
    <w:rsid w:val="006E77A8"/>
    <w:rsid w:val="006F126C"/>
    <w:rsid w:val="00705B96"/>
    <w:rsid w:val="00712773"/>
    <w:rsid w:val="00714A27"/>
    <w:rsid w:val="00716B34"/>
    <w:rsid w:val="00721193"/>
    <w:rsid w:val="00724078"/>
    <w:rsid w:val="00724855"/>
    <w:rsid w:val="007249D4"/>
    <w:rsid w:val="00725AB6"/>
    <w:rsid w:val="00725FC5"/>
    <w:rsid w:val="00730B38"/>
    <w:rsid w:val="007326C0"/>
    <w:rsid w:val="00734939"/>
    <w:rsid w:val="00740862"/>
    <w:rsid w:val="00741E88"/>
    <w:rsid w:val="00741FEE"/>
    <w:rsid w:val="00742651"/>
    <w:rsid w:val="007504E9"/>
    <w:rsid w:val="007562C3"/>
    <w:rsid w:val="0076002F"/>
    <w:rsid w:val="0076390B"/>
    <w:rsid w:val="00764065"/>
    <w:rsid w:val="007643E5"/>
    <w:rsid w:val="00771F82"/>
    <w:rsid w:val="00775864"/>
    <w:rsid w:val="00775FA3"/>
    <w:rsid w:val="00786C86"/>
    <w:rsid w:val="0079202E"/>
    <w:rsid w:val="007A0381"/>
    <w:rsid w:val="007A07D3"/>
    <w:rsid w:val="007A3768"/>
    <w:rsid w:val="007A576F"/>
    <w:rsid w:val="007A57F1"/>
    <w:rsid w:val="007B1174"/>
    <w:rsid w:val="007B1C94"/>
    <w:rsid w:val="007B2A6A"/>
    <w:rsid w:val="007B5069"/>
    <w:rsid w:val="007B7E52"/>
    <w:rsid w:val="007C3B68"/>
    <w:rsid w:val="007C651A"/>
    <w:rsid w:val="007E1A38"/>
    <w:rsid w:val="007E3062"/>
    <w:rsid w:val="007F343F"/>
    <w:rsid w:val="007F474D"/>
    <w:rsid w:val="007F6B34"/>
    <w:rsid w:val="00800269"/>
    <w:rsid w:val="0080186F"/>
    <w:rsid w:val="008047D2"/>
    <w:rsid w:val="00804E69"/>
    <w:rsid w:val="00806F45"/>
    <w:rsid w:val="00817A98"/>
    <w:rsid w:val="0082014B"/>
    <w:rsid w:val="00822C36"/>
    <w:rsid w:val="00825C0F"/>
    <w:rsid w:val="00826B9A"/>
    <w:rsid w:val="0082792A"/>
    <w:rsid w:val="00827A5E"/>
    <w:rsid w:val="00827EAA"/>
    <w:rsid w:val="0083030B"/>
    <w:rsid w:val="00835C35"/>
    <w:rsid w:val="00837EFD"/>
    <w:rsid w:val="00844054"/>
    <w:rsid w:val="00846597"/>
    <w:rsid w:val="008522A8"/>
    <w:rsid w:val="00852F4B"/>
    <w:rsid w:val="00855D29"/>
    <w:rsid w:val="008560F5"/>
    <w:rsid w:val="0086073B"/>
    <w:rsid w:val="00865F3A"/>
    <w:rsid w:val="00866D01"/>
    <w:rsid w:val="008755ED"/>
    <w:rsid w:val="0088323F"/>
    <w:rsid w:val="008905B7"/>
    <w:rsid w:val="008960D3"/>
    <w:rsid w:val="008A1763"/>
    <w:rsid w:val="008A1BC7"/>
    <w:rsid w:val="008A7465"/>
    <w:rsid w:val="008B0229"/>
    <w:rsid w:val="008B2A85"/>
    <w:rsid w:val="008B2FBE"/>
    <w:rsid w:val="008B38D3"/>
    <w:rsid w:val="008B4835"/>
    <w:rsid w:val="008B4A57"/>
    <w:rsid w:val="008C0FCE"/>
    <w:rsid w:val="008C2EAA"/>
    <w:rsid w:val="008C3191"/>
    <w:rsid w:val="008C3C9B"/>
    <w:rsid w:val="008C61FE"/>
    <w:rsid w:val="008D712D"/>
    <w:rsid w:val="008E635C"/>
    <w:rsid w:val="008F0157"/>
    <w:rsid w:val="008F04E3"/>
    <w:rsid w:val="008F1BF4"/>
    <w:rsid w:val="008F3257"/>
    <w:rsid w:val="008F3B31"/>
    <w:rsid w:val="009012BA"/>
    <w:rsid w:val="009038B0"/>
    <w:rsid w:val="00903F14"/>
    <w:rsid w:val="009107C0"/>
    <w:rsid w:val="009111F4"/>
    <w:rsid w:val="00915962"/>
    <w:rsid w:val="00917EA8"/>
    <w:rsid w:val="00932DB1"/>
    <w:rsid w:val="00934905"/>
    <w:rsid w:val="00936D99"/>
    <w:rsid w:val="009406D2"/>
    <w:rsid w:val="00941F73"/>
    <w:rsid w:val="00945714"/>
    <w:rsid w:val="00960D76"/>
    <w:rsid w:val="0096193B"/>
    <w:rsid w:val="00962622"/>
    <w:rsid w:val="00972015"/>
    <w:rsid w:val="00981EEA"/>
    <w:rsid w:val="0098366F"/>
    <w:rsid w:val="00990AD4"/>
    <w:rsid w:val="0099123A"/>
    <w:rsid w:val="009A2DE8"/>
    <w:rsid w:val="009B2CDC"/>
    <w:rsid w:val="009B3341"/>
    <w:rsid w:val="009B5C0D"/>
    <w:rsid w:val="009C2433"/>
    <w:rsid w:val="009C5F3B"/>
    <w:rsid w:val="009C64A6"/>
    <w:rsid w:val="009D512F"/>
    <w:rsid w:val="009F0E43"/>
    <w:rsid w:val="009F1586"/>
    <w:rsid w:val="009F5269"/>
    <w:rsid w:val="009F7E51"/>
    <w:rsid w:val="00A020F1"/>
    <w:rsid w:val="00A02657"/>
    <w:rsid w:val="00A05C49"/>
    <w:rsid w:val="00A07CFF"/>
    <w:rsid w:val="00A10BA9"/>
    <w:rsid w:val="00A1607A"/>
    <w:rsid w:val="00A21339"/>
    <w:rsid w:val="00A21D67"/>
    <w:rsid w:val="00A2597C"/>
    <w:rsid w:val="00A3073E"/>
    <w:rsid w:val="00A364D2"/>
    <w:rsid w:val="00A42058"/>
    <w:rsid w:val="00A45F45"/>
    <w:rsid w:val="00A46653"/>
    <w:rsid w:val="00A50006"/>
    <w:rsid w:val="00A51E75"/>
    <w:rsid w:val="00A562CA"/>
    <w:rsid w:val="00A64DFD"/>
    <w:rsid w:val="00A65D29"/>
    <w:rsid w:val="00A65F61"/>
    <w:rsid w:val="00A67680"/>
    <w:rsid w:val="00A73FE5"/>
    <w:rsid w:val="00A80E0A"/>
    <w:rsid w:val="00A81D71"/>
    <w:rsid w:val="00A87AAE"/>
    <w:rsid w:val="00A9102D"/>
    <w:rsid w:val="00A93964"/>
    <w:rsid w:val="00A948DC"/>
    <w:rsid w:val="00AA1BD7"/>
    <w:rsid w:val="00AA1C14"/>
    <w:rsid w:val="00AA2ABD"/>
    <w:rsid w:val="00AA4BF3"/>
    <w:rsid w:val="00AA6DCD"/>
    <w:rsid w:val="00AA6ED8"/>
    <w:rsid w:val="00AB5ACD"/>
    <w:rsid w:val="00AB6B40"/>
    <w:rsid w:val="00AB7D69"/>
    <w:rsid w:val="00AC0510"/>
    <w:rsid w:val="00AC0F9F"/>
    <w:rsid w:val="00AC1237"/>
    <w:rsid w:val="00AC32D0"/>
    <w:rsid w:val="00AC3B03"/>
    <w:rsid w:val="00AC582C"/>
    <w:rsid w:val="00AC66A5"/>
    <w:rsid w:val="00AC7556"/>
    <w:rsid w:val="00AD2AD2"/>
    <w:rsid w:val="00AD2BF0"/>
    <w:rsid w:val="00AD3D66"/>
    <w:rsid w:val="00AE0A78"/>
    <w:rsid w:val="00AE559A"/>
    <w:rsid w:val="00AF01BF"/>
    <w:rsid w:val="00AF2A81"/>
    <w:rsid w:val="00AF4531"/>
    <w:rsid w:val="00AF5D48"/>
    <w:rsid w:val="00B00A14"/>
    <w:rsid w:val="00B02BE9"/>
    <w:rsid w:val="00B065A3"/>
    <w:rsid w:val="00B15801"/>
    <w:rsid w:val="00B16071"/>
    <w:rsid w:val="00B21317"/>
    <w:rsid w:val="00B214F8"/>
    <w:rsid w:val="00B228ED"/>
    <w:rsid w:val="00B23B49"/>
    <w:rsid w:val="00B24055"/>
    <w:rsid w:val="00B303C4"/>
    <w:rsid w:val="00B31FB0"/>
    <w:rsid w:val="00B419CD"/>
    <w:rsid w:val="00B44E81"/>
    <w:rsid w:val="00B50712"/>
    <w:rsid w:val="00B60C40"/>
    <w:rsid w:val="00B6581D"/>
    <w:rsid w:val="00B67B37"/>
    <w:rsid w:val="00B73ADD"/>
    <w:rsid w:val="00B77B85"/>
    <w:rsid w:val="00B81178"/>
    <w:rsid w:val="00B83C01"/>
    <w:rsid w:val="00B8430E"/>
    <w:rsid w:val="00B9193C"/>
    <w:rsid w:val="00B92979"/>
    <w:rsid w:val="00B9353F"/>
    <w:rsid w:val="00B940D3"/>
    <w:rsid w:val="00BA00A2"/>
    <w:rsid w:val="00BA0206"/>
    <w:rsid w:val="00BA11B1"/>
    <w:rsid w:val="00BA3005"/>
    <w:rsid w:val="00BA7322"/>
    <w:rsid w:val="00BB09F3"/>
    <w:rsid w:val="00BB2FE4"/>
    <w:rsid w:val="00BB5D1D"/>
    <w:rsid w:val="00BC0401"/>
    <w:rsid w:val="00BC420F"/>
    <w:rsid w:val="00BD5C73"/>
    <w:rsid w:val="00BD6C08"/>
    <w:rsid w:val="00BE28C0"/>
    <w:rsid w:val="00BE6B9D"/>
    <w:rsid w:val="00BE6D9E"/>
    <w:rsid w:val="00BF0E80"/>
    <w:rsid w:val="00BF2EB2"/>
    <w:rsid w:val="00BF2F4B"/>
    <w:rsid w:val="00BF6148"/>
    <w:rsid w:val="00BF63EA"/>
    <w:rsid w:val="00BF7068"/>
    <w:rsid w:val="00BF7297"/>
    <w:rsid w:val="00C04EF9"/>
    <w:rsid w:val="00C053C0"/>
    <w:rsid w:val="00C07F56"/>
    <w:rsid w:val="00C10F29"/>
    <w:rsid w:val="00C117BC"/>
    <w:rsid w:val="00C12B00"/>
    <w:rsid w:val="00C136D3"/>
    <w:rsid w:val="00C14274"/>
    <w:rsid w:val="00C20DB3"/>
    <w:rsid w:val="00C337C2"/>
    <w:rsid w:val="00C34FD5"/>
    <w:rsid w:val="00C35E6B"/>
    <w:rsid w:val="00C42DB7"/>
    <w:rsid w:val="00C43D29"/>
    <w:rsid w:val="00C4499E"/>
    <w:rsid w:val="00C522A6"/>
    <w:rsid w:val="00C52532"/>
    <w:rsid w:val="00C5427A"/>
    <w:rsid w:val="00C56CB9"/>
    <w:rsid w:val="00C64E6B"/>
    <w:rsid w:val="00C66C5E"/>
    <w:rsid w:val="00C66FF9"/>
    <w:rsid w:val="00C7189A"/>
    <w:rsid w:val="00C75C8D"/>
    <w:rsid w:val="00C801CF"/>
    <w:rsid w:val="00C80358"/>
    <w:rsid w:val="00C82A4D"/>
    <w:rsid w:val="00C94AC2"/>
    <w:rsid w:val="00C95794"/>
    <w:rsid w:val="00C9623E"/>
    <w:rsid w:val="00CA3B50"/>
    <w:rsid w:val="00CA3E95"/>
    <w:rsid w:val="00CA77E1"/>
    <w:rsid w:val="00CB3EF3"/>
    <w:rsid w:val="00CB680A"/>
    <w:rsid w:val="00CC1870"/>
    <w:rsid w:val="00CC219F"/>
    <w:rsid w:val="00CC3A25"/>
    <w:rsid w:val="00CC3B5E"/>
    <w:rsid w:val="00CC6C08"/>
    <w:rsid w:val="00CE1354"/>
    <w:rsid w:val="00CE6646"/>
    <w:rsid w:val="00CF5DB1"/>
    <w:rsid w:val="00D0103F"/>
    <w:rsid w:val="00D05F31"/>
    <w:rsid w:val="00D066FB"/>
    <w:rsid w:val="00D070EE"/>
    <w:rsid w:val="00D1744D"/>
    <w:rsid w:val="00D214A5"/>
    <w:rsid w:val="00D21569"/>
    <w:rsid w:val="00D239B0"/>
    <w:rsid w:val="00D25BC5"/>
    <w:rsid w:val="00D27D85"/>
    <w:rsid w:val="00D3072F"/>
    <w:rsid w:val="00D37022"/>
    <w:rsid w:val="00D44209"/>
    <w:rsid w:val="00D5712D"/>
    <w:rsid w:val="00D61495"/>
    <w:rsid w:val="00D622FC"/>
    <w:rsid w:val="00D654B0"/>
    <w:rsid w:val="00D654CB"/>
    <w:rsid w:val="00D72DDD"/>
    <w:rsid w:val="00D73E95"/>
    <w:rsid w:val="00D755A0"/>
    <w:rsid w:val="00D77869"/>
    <w:rsid w:val="00D803C5"/>
    <w:rsid w:val="00D84858"/>
    <w:rsid w:val="00D875E0"/>
    <w:rsid w:val="00D9769F"/>
    <w:rsid w:val="00DA0057"/>
    <w:rsid w:val="00DA7B2D"/>
    <w:rsid w:val="00DB7FD5"/>
    <w:rsid w:val="00DC2AB6"/>
    <w:rsid w:val="00DC7CAA"/>
    <w:rsid w:val="00DD1325"/>
    <w:rsid w:val="00DD2BB1"/>
    <w:rsid w:val="00DD71E3"/>
    <w:rsid w:val="00DE273D"/>
    <w:rsid w:val="00DF1408"/>
    <w:rsid w:val="00DF4690"/>
    <w:rsid w:val="00DF60DC"/>
    <w:rsid w:val="00E006A3"/>
    <w:rsid w:val="00E10F96"/>
    <w:rsid w:val="00E11077"/>
    <w:rsid w:val="00E12B17"/>
    <w:rsid w:val="00E14B0F"/>
    <w:rsid w:val="00E20A17"/>
    <w:rsid w:val="00E23275"/>
    <w:rsid w:val="00E27B7E"/>
    <w:rsid w:val="00E309AE"/>
    <w:rsid w:val="00E31D1D"/>
    <w:rsid w:val="00E35259"/>
    <w:rsid w:val="00E366D1"/>
    <w:rsid w:val="00E3701D"/>
    <w:rsid w:val="00E41C59"/>
    <w:rsid w:val="00E45D4A"/>
    <w:rsid w:val="00E51E5E"/>
    <w:rsid w:val="00E55196"/>
    <w:rsid w:val="00E625F5"/>
    <w:rsid w:val="00E6289F"/>
    <w:rsid w:val="00E62B49"/>
    <w:rsid w:val="00E62F08"/>
    <w:rsid w:val="00E6440E"/>
    <w:rsid w:val="00E6528B"/>
    <w:rsid w:val="00E67B84"/>
    <w:rsid w:val="00E70218"/>
    <w:rsid w:val="00E70DF9"/>
    <w:rsid w:val="00E710B4"/>
    <w:rsid w:val="00E713E3"/>
    <w:rsid w:val="00E71913"/>
    <w:rsid w:val="00E72820"/>
    <w:rsid w:val="00E73C59"/>
    <w:rsid w:val="00E7417D"/>
    <w:rsid w:val="00E7420B"/>
    <w:rsid w:val="00E77783"/>
    <w:rsid w:val="00E80D39"/>
    <w:rsid w:val="00E93873"/>
    <w:rsid w:val="00E9410A"/>
    <w:rsid w:val="00EA1DC1"/>
    <w:rsid w:val="00EA3194"/>
    <w:rsid w:val="00EB1B8C"/>
    <w:rsid w:val="00EB2409"/>
    <w:rsid w:val="00EB2420"/>
    <w:rsid w:val="00EB4A65"/>
    <w:rsid w:val="00EB7840"/>
    <w:rsid w:val="00EB7B34"/>
    <w:rsid w:val="00EC3D52"/>
    <w:rsid w:val="00ED0B80"/>
    <w:rsid w:val="00ED116C"/>
    <w:rsid w:val="00ED1F92"/>
    <w:rsid w:val="00ED3C05"/>
    <w:rsid w:val="00ED5040"/>
    <w:rsid w:val="00ED70B9"/>
    <w:rsid w:val="00ED7942"/>
    <w:rsid w:val="00EE0A0E"/>
    <w:rsid w:val="00EE1F72"/>
    <w:rsid w:val="00EE506A"/>
    <w:rsid w:val="00EE59B1"/>
    <w:rsid w:val="00EE6883"/>
    <w:rsid w:val="00EF09AA"/>
    <w:rsid w:val="00EF18D6"/>
    <w:rsid w:val="00EF4D75"/>
    <w:rsid w:val="00EF59EA"/>
    <w:rsid w:val="00F012BB"/>
    <w:rsid w:val="00F11C13"/>
    <w:rsid w:val="00F11D20"/>
    <w:rsid w:val="00F156F2"/>
    <w:rsid w:val="00F175D7"/>
    <w:rsid w:val="00F27E2F"/>
    <w:rsid w:val="00F27F7A"/>
    <w:rsid w:val="00F34644"/>
    <w:rsid w:val="00F35544"/>
    <w:rsid w:val="00F369AA"/>
    <w:rsid w:val="00F406D9"/>
    <w:rsid w:val="00F44F4A"/>
    <w:rsid w:val="00F466BF"/>
    <w:rsid w:val="00F53727"/>
    <w:rsid w:val="00F53753"/>
    <w:rsid w:val="00F54984"/>
    <w:rsid w:val="00F55488"/>
    <w:rsid w:val="00F609B2"/>
    <w:rsid w:val="00F6166B"/>
    <w:rsid w:val="00F65EB2"/>
    <w:rsid w:val="00F70B05"/>
    <w:rsid w:val="00F76716"/>
    <w:rsid w:val="00F82E85"/>
    <w:rsid w:val="00F83671"/>
    <w:rsid w:val="00F901F5"/>
    <w:rsid w:val="00F92EAE"/>
    <w:rsid w:val="00FA0B9A"/>
    <w:rsid w:val="00FA15E3"/>
    <w:rsid w:val="00FA59A1"/>
    <w:rsid w:val="00FA5EB2"/>
    <w:rsid w:val="00FB08A6"/>
    <w:rsid w:val="00FB0A9D"/>
    <w:rsid w:val="00FB2A2C"/>
    <w:rsid w:val="00FB4A2B"/>
    <w:rsid w:val="00FB6B4A"/>
    <w:rsid w:val="00FB6D83"/>
    <w:rsid w:val="00FB7F52"/>
    <w:rsid w:val="00FC084A"/>
    <w:rsid w:val="00FD063D"/>
    <w:rsid w:val="00FD0A89"/>
    <w:rsid w:val="00FD1046"/>
    <w:rsid w:val="00FD16E9"/>
    <w:rsid w:val="00FD3D80"/>
    <w:rsid w:val="00FE331F"/>
    <w:rsid w:val="00FE3FFA"/>
    <w:rsid w:val="00FF2A0F"/>
    <w:rsid w:val="00FF4515"/>
    <w:rsid w:val="00FF4B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47A02"/>
  <w15:chartTrackingRefBased/>
  <w15:docId w15:val="{A9A3186D-8F93-4091-ACBE-C479B0CB8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93873"/>
    <w:pPr>
      <w:spacing w:after="200" w:line="276" w:lineRule="auto"/>
    </w:pPr>
    <w:rPr>
      <w:rFonts w:asciiTheme="minorHAnsi" w:hAnsiTheme="minorHAnsi"/>
      <w:kern w:val="0"/>
      <w:sz w:val="22"/>
    </w:rPr>
  </w:style>
  <w:style w:type="paragraph" w:styleId="Titolo1">
    <w:name w:val="heading 1"/>
    <w:basedOn w:val="Normale"/>
    <w:next w:val="Normale"/>
    <w:link w:val="Titolo1Carattere"/>
    <w:uiPriority w:val="9"/>
    <w:qFormat/>
    <w:rsid w:val="00E938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938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9387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9387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9387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9387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9387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9387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9387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9387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9387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93873"/>
    <w:rPr>
      <w:rFonts w:asciiTheme="minorHAnsi" w:eastAsiaTheme="majorEastAsia" w:hAnsiTheme="minorHAnsi"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93873"/>
    <w:rPr>
      <w:rFonts w:asciiTheme="minorHAnsi" w:eastAsiaTheme="majorEastAsia" w:hAnsiTheme="minorHAnsi" w:cstheme="majorBidi"/>
      <w:i/>
      <w:iCs/>
      <w:color w:val="0F4761" w:themeColor="accent1" w:themeShade="BF"/>
    </w:rPr>
  </w:style>
  <w:style w:type="character" w:customStyle="1" w:styleId="Titolo5Carattere">
    <w:name w:val="Titolo 5 Carattere"/>
    <w:basedOn w:val="Carpredefinitoparagrafo"/>
    <w:link w:val="Titolo5"/>
    <w:uiPriority w:val="9"/>
    <w:semiHidden/>
    <w:rsid w:val="00E93873"/>
    <w:rPr>
      <w:rFonts w:asciiTheme="minorHAnsi" w:eastAsiaTheme="majorEastAsia" w:hAnsiTheme="minorHAnsi" w:cstheme="majorBidi"/>
      <w:color w:val="0F4761" w:themeColor="accent1" w:themeShade="BF"/>
    </w:rPr>
  </w:style>
  <w:style w:type="character" w:customStyle="1" w:styleId="Titolo6Carattere">
    <w:name w:val="Titolo 6 Carattere"/>
    <w:basedOn w:val="Carpredefinitoparagrafo"/>
    <w:link w:val="Titolo6"/>
    <w:uiPriority w:val="9"/>
    <w:semiHidden/>
    <w:rsid w:val="00E93873"/>
    <w:rPr>
      <w:rFonts w:asciiTheme="minorHAnsi" w:eastAsiaTheme="majorEastAsia" w:hAnsiTheme="minorHAnsi" w:cstheme="majorBidi"/>
      <w:i/>
      <w:iCs/>
      <w:color w:val="595959" w:themeColor="text1" w:themeTint="A6"/>
    </w:rPr>
  </w:style>
  <w:style w:type="character" w:customStyle="1" w:styleId="Titolo7Carattere">
    <w:name w:val="Titolo 7 Carattere"/>
    <w:basedOn w:val="Carpredefinitoparagrafo"/>
    <w:link w:val="Titolo7"/>
    <w:uiPriority w:val="9"/>
    <w:semiHidden/>
    <w:rsid w:val="00E93873"/>
    <w:rPr>
      <w:rFonts w:asciiTheme="minorHAnsi" w:eastAsiaTheme="majorEastAsia" w:hAnsiTheme="minorHAnsi" w:cstheme="majorBidi"/>
      <w:color w:val="595959" w:themeColor="text1" w:themeTint="A6"/>
    </w:rPr>
  </w:style>
  <w:style w:type="character" w:customStyle="1" w:styleId="Titolo8Carattere">
    <w:name w:val="Titolo 8 Carattere"/>
    <w:basedOn w:val="Carpredefinitoparagrafo"/>
    <w:link w:val="Titolo8"/>
    <w:uiPriority w:val="9"/>
    <w:semiHidden/>
    <w:rsid w:val="00E93873"/>
    <w:rPr>
      <w:rFonts w:asciiTheme="minorHAnsi" w:eastAsiaTheme="majorEastAsia" w:hAnsiTheme="minorHAnsi" w:cstheme="majorBidi"/>
      <w:i/>
      <w:iCs/>
      <w:color w:val="272727" w:themeColor="text1" w:themeTint="D8"/>
    </w:rPr>
  </w:style>
  <w:style w:type="character" w:customStyle="1" w:styleId="Titolo9Carattere">
    <w:name w:val="Titolo 9 Carattere"/>
    <w:basedOn w:val="Carpredefinitoparagrafo"/>
    <w:link w:val="Titolo9"/>
    <w:uiPriority w:val="9"/>
    <w:semiHidden/>
    <w:rsid w:val="00E93873"/>
    <w:rPr>
      <w:rFonts w:asciiTheme="minorHAnsi" w:eastAsiaTheme="majorEastAsia" w:hAnsiTheme="minorHAnsi" w:cstheme="majorBidi"/>
      <w:color w:val="272727" w:themeColor="text1" w:themeTint="D8"/>
    </w:rPr>
  </w:style>
  <w:style w:type="paragraph" w:styleId="Titolo">
    <w:name w:val="Title"/>
    <w:basedOn w:val="Normale"/>
    <w:next w:val="Normale"/>
    <w:link w:val="TitoloCarattere"/>
    <w:uiPriority w:val="10"/>
    <w:qFormat/>
    <w:rsid w:val="00E938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9387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9387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93873"/>
    <w:rPr>
      <w:rFonts w:asciiTheme="minorHAnsi" w:eastAsiaTheme="majorEastAsia" w:hAnsiTheme="minorHAnsi"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9387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93873"/>
    <w:rPr>
      <w:i/>
      <w:iCs/>
      <w:color w:val="404040" w:themeColor="text1" w:themeTint="BF"/>
    </w:rPr>
  </w:style>
  <w:style w:type="paragraph" w:styleId="Paragrafoelenco">
    <w:name w:val="List Paragraph"/>
    <w:aliases w:val="Paragraphe EI,Paragraphe de liste1,EC,Paragraphe de liste,Dot pt,List Paragraph1,Colorful List - Accent 11,No Spacing1,List Paragraph Char Char Char,Indicator Text,Numbered Para 1,Bullet 1,F5 List Paragraph,Bullet Points,List Paragraph2"/>
    <w:basedOn w:val="Normale"/>
    <w:link w:val="ParagrafoelencoCarattere"/>
    <w:uiPriority w:val="34"/>
    <w:qFormat/>
    <w:rsid w:val="00E93873"/>
    <w:pPr>
      <w:ind w:left="720"/>
      <w:contextualSpacing/>
    </w:pPr>
  </w:style>
  <w:style w:type="character" w:styleId="Enfasiintensa">
    <w:name w:val="Intense Emphasis"/>
    <w:basedOn w:val="Carpredefinitoparagrafo"/>
    <w:uiPriority w:val="21"/>
    <w:qFormat/>
    <w:rsid w:val="00E93873"/>
    <w:rPr>
      <w:i/>
      <w:iCs/>
      <w:color w:val="0F4761" w:themeColor="accent1" w:themeShade="BF"/>
    </w:rPr>
  </w:style>
  <w:style w:type="paragraph" w:styleId="Citazioneintensa">
    <w:name w:val="Intense Quote"/>
    <w:basedOn w:val="Normale"/>
    <w:next w:val="Normale"/>
    <w:link w:val="CitazioneintensaCarattere"/>
    <w:uiPriority w:val="30"/>
    <w:qFormat/>
    <w:rsid w:val="00E938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93873"/>
    <w:rPr>
      <w:i/>
      <w:iCs/>
      <w:color w:val="0F4761" w:themeColor="accent1" w:themeShade="BF"/>
    </w:rPr>
  </w:style>
  <w:style w:type="character" w:styleId="Riferimentointenso">
    <w:name w:val="Intense Reference"/>
    <w:basedOn w:val="Carpredefinitoparagrafo"/>
    <w:uiPriority w:val="32"/>
    <w:qFormat/>
    <w:rsid w:val="00E93873"/>
    <w:rPr>
      <w:b/>
      <w:bCs/>
      <w:smallCaps/>
      <w:color w:val="0F4761" w:themeColor="accent1" w:themeShade="BF"/>
      <w:spacing w:val="5"/>
    </w:rPr>
  </w:style>
  <w:style w:type="table" w:styleId="Grigliatabella">
    <w:name w:val="Table Grid"/>
    <w:basedOn w:val="Tabellanormale"/>
    <w:uiPriority w:val="39"/>
    <w:rsid w:val="00E93873"/>
    <w:pPr>
      <w:spacing w:after="0" w:line="240" w:lineRule="auto"/>
    </w:pPr>
    <w:rPr>
      <w:rFonts w:asciiTheme="minorHAnsi" w:eastAsiaTheme="minorEastAsia" w:hAnsiTheme="minorHAnsi"/>
      <w:kern w:val="0"/>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aliases w:val="Paragraphe EI Carattere,Paragraphe de liste1 Carattere,EC Carattere,Paragraphe de liste Carattere,Dot pt Carattere,List Paragraph1 Carattere,Colorful List - Accent 11 Carattere,No Spacing1 Carattere,Indicator Text Carattere"/>
    <w:basedOn w:val="Carpredefinitoparagrafo"/>
    <w:link w:val="Paragrafoelenco"/>
    <w:uiPriority w:val="34"/>
    <w:qFormat/>
    <w:rsid w:val="00E93873"/>
  </w:style>
  <w:style w:type="character" w:styleId="Rimandonotaapidipagina">
    <w:name w:val="footnote reference"/>
    <w:aliases w:val="*,Footnote Reference Number,Footnote Reference_LVL6,Footnote Reference_LVL61,Footnote Reference_LVL62,Footnote Reference_LVL63,Footnote Reference_LVL64,Footnote Reference Number Char,Footnote symbol Char,16 Point Char,Ref Ch"/>
    <w:link w:val="Footnotesymbol"/>
    <w:uiPriority w:val="99"/>
    <w:qFormat/>
    <w:rsid w:val="00E93873"/>
    <w:rPr>
      <w:vertAlign w:val="superscript"/>
    </w:rPr>
  </w:style>
  <w:style w:type="paragraph" w:styleId="Testonotaapidipagina">
    <w:name w:val="footnote text"/>
    <w:aliases w:val="Testo_note,ft,Testo_note1,Testo_note2,Carattere,Testo_note Carattere Carattere Carattere,Testo_note Carattere Carattere,Testo nota a piè di pagina Carattere Carattere Carattere Carattere"/>
    <w:basedOn w:val="Normale"/>
    <w:link w:val="TestonotaapidipaginaCarattere"/>
    <w:uiPriority w:val="99"/>
    <w:qFormat/>
    <w:rsid w:val="00E93873"/>
    <w:pPr>
      <w:widowControl w:val="0"/>
      <w:suppressAutoHyphens/>
      <w:spacing w:after="0" w:line="360" w:lineRule="atLeast"/>
      <w:jc w:val="both"/>
      <w:textAlignment w:val="baseline"/>
    </w:pPr>
    <w:rPr>
      <w:rFonts w:ascii="Times New Roman" w:eastAsia="Times New Roman" w:hAnsi="Times New Roman" w:cs="Times New Roman"/>
      <w:sz w:val="20"/>
      <w:szCs w:val="20"/>
      <w:lang w:eastAsia="ar-SA"/>
    </w:rPr>
  </w:style>
  <w:style w:type="character" w:customStyle="1" w:styleId="TestonotaapidipaginaCarattere">
    <w:name w:val="Testo nota a piè di pagina Carattere"/>
    <w:aliases w:val="Testo_note Carattere,ft Carattere,Testo_note1 Carattere,Testo_note2 Carattere,Carattere Carattere,Testo_note Carattere Carattere Carattere Carattere,Testo_note Carattere Carattere Carattere1"/>
    <w:basedOn w:val="Carpredefinitoparagrafo"/>
    <w:link w:val="Testonotaapidipagina"/>
    <w:uiPriority w:val="99"/>
    <w:rsid w:val="00E93873"/>
    <w:rPr>
      <w:rFonts w:eastAsia="Times New Roman" w:cs="Times New Roman"/>
      <w:kern w:val="0"/>
      <w:sz w:val="20"/>
      <w:szCs w:val="20"/>
      <w:lang w:eastAsia="ar-SA"/>
    </w:rPr>
  </w:style>
  <w:style w:type="paragraph" w:customStyle="1" w:styleId="Footnotesymbol">
    <w:name w:val="Footnote symbol"/>
    <w:aliases w:val="16 Point,Superscript 6 Point,Times 10 Point,Exposant 3 Point,Footnote reference number,Odwołanie przypisu,number,SUPERS,Ref,de nota al pie,footnote ref,2001+ Fußnotenzeichen, Exposant 3 Point"/>
    <w:basedOn w:val="Normale"/>
    <w:link w:val="Rimandonotaapidipagina"/>
    <w:uiPriority w:val="99"/>
    <w:rsid w:val="00E93873"/>
    <w:pPr>
      <w:spacing w:after="160" w:line="240" w:lineRule="exact"/>
    </w:pPr>
    <w:rPr>
      <w:rFonts w:ascii="Times New Roman" w:hAnsi="Times New Roman"/>
      <w:kern w:val="2"/>
      <w:sz w:val="24"/>
      <w:vertAlign w:val="superscript"/>
    </w:rPr>
  </w:style>
  <w:style w:type="paragraph" w:styleId="Intestazione">
    <w:name w:val="header"/>
    <w:basedOn w:val="Normale"/>
    <w:link w:val="IntestazioneCarattere"/>
    <w:uiPriority w:val="99"/>
    <w:unhideWhenUsed/>
    <w:rsid w:val="00E9387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93873"/>
    <w:rPr>
      <w:rFonts w:asciiTheme="minorHAnsi" w:hAnsiTheme="minorHAnsi"/>
      <w:kern w:val="0"/>
      <w:sz w:val="22"/>
    </w:rPr>
  </w:style>
  <w:style w:type="paragraph" w:styleId="Pidipagina">
    <w:name w:val="footer"/>
    <w:basedOn w:val="Normale"/>
    <w:link w:val="PidipaginaCarattere"/>
    <w:uiPriority w:val="99"/>
    <w:unhideWhenUsed/>
    <w:rsid w:val="00E9387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93873"/>
    <w:rPr>
      <w:rFonts w:asciiTheme="minorHAnsi" w:hAnsiTheme="minorHAnsi"/>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672</Words>
  <Characters>3837</Characters>
  <Application>Microsoft Office Word</Application>
  <DocSecurity>0</DocSecurity>
  <Lines>31</Lines>
  <Paragraphs>8</Paragraphs>
  <ScaleCrop>false</ScaleCrop>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Domenico Fichera</dc:creator>
  <cp:keywords/>
  <dc:description/>
  <cp:lastModifiedBy>Gloria, Alfredo</cp:lastModifiedBy>
  <cp:revision>3</cp:revision>
  <dcterms:created xsi:type="dcterms:W3CDTF">2026-06-18T13:50:00Z</dcterms:created>
  <dcterms:modified xsi:type="dcterms:W3CDTF">2026-06-18T13:52:00Z</dcterms:modified>
</cp:coreProperties>
</file>