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A65D8F8" w14:textId="308B2E41" w:rsidR="00A350A9" w:rsidRDefault="00C446D8" w:rsidP="003A6534">
      <w:pPr>
        <w:spacing w:after="0" w:line="240" w:lineRule="auto"/>
        <w:jc w:val="center"/>
        <w:rPr>
          <w:rFonts w:ascii="Times New Roman" w:hAnsi="Times New Roman" w:cs="Times New Roman"/>
          <w:b/>
          <w:bCs/>
          <w:color w:val="FF0000"/>
          <w:sz w:val="52"/>
          <w:szCs w:val="52"/>
        </w:rPr>
      </w:pPr>
      <w:r>
        <w:rPr>
          <w:rFonts w:ascii="Times New Roman" w:hAnsi="Times New Roman" w:cs="Times New Roman"/>
          <w:b/>
          <w:bCs/>
          <w:color w:val="FF0000"/>
          <w:sz w:val="52"/>
          <w:szCs w:val="52"/>
        </w:rPr>
        <w:t xml:space="preserve"> </w:t>
      </w:r>
      <w:r w:rsidR="00A350A9">
        <w:rPr>
          <w:rFonts w:ascii="Times New Roman" w:hAnsi="Times New Roman" w:cs="Times New Roman"/>
          <w:b/>
          <w:bCs/>
          <w:color w:val="FF0000"/>
          <w:sz w:val="52"/>
          <w:szCs w:val="52"/>
        </w:rPr>
        <w:t xml:space="preserve">La </w:t>
      </w:r>
      <w:r w:rsidR="00F107AE">
        <w:rPr>
          <w:rFonts w:ascii="Times New Roman" w:hAnsi="Times New Roman" w:cs="Times New Roman"/>
          <w:b/>
          <w:bCs/>
          <w:color w:val="FF0000"/>
          <w:sz w:val="52"/>
          <w:szCs w:val="52"/>
        </w:rPr>
        <w:t>B</w:t>
      </w:r>
      <w:r w:rsidR="00A350A9">
        <w:rPr>
          <w:rFonts w:ascii="Times New Roman" w:hAnsi="Times New Roman" w:cs="Times New Roman"/>
          <w:b/>
          <w:bCs/>
          <w:color w:val="FF0000"/>
          <w:sz w:val="52"/>
          <w:szCs w:val="52"/>
        </w:rPr>
        <w:t>orsa</w:t>
      </w:r>
    </w:p>
    <w:p w14:paraId="06ACC0BB" w14:textId="77777777" w:rsidR="00656159" w:rsidRPr="00656159" w:rsidRDefault="00656159" w:rsidP="003A6534">
      <w:pPr>
        <w:spacing w:after="0" w:line="240" w:lineRule="auto"/>
        <w:jc w:val="center"/>
        <w:rPr>
          <w:rFonts w:ascii="Times New Roman" w:hAnsi="Times New Roman" w:cs="Times New Roman"/>
          <w:b/>
          <w:bCs/>
          <w:color w:val="FF0000"/>
        </w:rPr>
      </w:pPr>
    </w:p>
    <w:p w14:paraId="72FB8674" w14:textId="3535B4A5" w:rsidR="00230801" w:rsidRDefault="00230801" w:rsidP="003A6534">
      <w:pPr>
        <w:spacing w:after="0" w:line="240" w:lineRule="auto"/>
        <w:rPr>
          <w:rFonts w:ascii="Calibri Light" w:hAnsi="Calibri Light" w:cs="Calibri Light"/>
          <w:b/>
          <w:bCs/>
          <w:color w:val="FF0000"/>
          <w:sz w:val="48"/>
          <w:szCs w:val="48"/>
        </w:rPr>
      </w:pPr>
      <w:r w:rsidRPr="00F107AE">
        <w:rPr>
          <w:rFonts w:ascii="Calibri Light" w:hAnsi="Calibri Light" w:cs="Calibri Light"/>
          <w:b/>
          <w:bCs/>
          <w:color w:val="FF0000"/>
          <w:sz w:val="48"/>
          <w:szCs w:val="48"/>
        </w:rPr>
        <w:t xml:space="preserve">La nascita della </w:t>
      </w:r>
      <w:r w:rsidR="009261D3">
        <w:rPr>
          <w:rFonts w:ascii="Calibri Light" w:hAnsi="Calibri Light" w:cs="Calibri Light"/>
          <w:b/>
          <w:bCs/>
          <w:color w:val="FF0000"/>
          <w:sz w:val="48"/>
          <w:szCs w:val="48"/>
        </w:rPr>
        <w:t>B</w:t>
      </w:r>
      <w:r w:rsidRPr="00F107AE">
        <w:rPr>
          <w:rFonts w:ascii="Calibri Light" w:hAnsi="Calibri Light" w:cs="Calibri Light"/>
          <w:b/>
          <w:bCs/>
          <w:color w:val="FF0000"/>
          <w:sz w:val="48"/>
          <w:szCs w:val="48"/>
        </w:rPr>
        <w:t>orsa</w:t>
      </w:r>
    </w:p>
    <w:p w14:paraId="7D57B564" w14:textId="77777777" w:rsidR="00656159" w:rsidRPr="00656159" w:rsidRDefault="00656159" w:rsidP="003A6534">
      <w:pPr>
        <w:spacing w:after="0" w:line="240" w:lineRule="auto"/>
        <w:rPr>
          <w:rFonts w:ascii="Calibri Light" w:hAnsi="Calibri Light" w:cs="Calibri Light"/>
          <w:color w:val="FF0000"/>
          <w:sz w:val="32"/>
          <w:szCs w:val="32"/>
        </w:rPr>
      </w:pPr>
    </w:p>
    <w:p w14:paraId="241500C2" w14:textId="756215EE" w:rsidR="00230801" w:rsidRPr="00302D6E" w:rsidRDefault="00230801" w:rsidP="00C5231B">
      <w:pPr>
        <w:pStyle w:val="NormaleWeb"/>
        <w:shd w:val="clear" w:color="auto" w:fill="FFFFFF"/>
        <w:spacing w:before="0" w:beforeAutospacing="0" w:after="0" w:afterAutospacing="0"/>
        <w:rPr>
          <w:rFonts w:ascii="Calibri" w:hAnsi="Calibri" w:cs="Calibri"/>
          <w:sz w:val="32"/>
          <w:szCs w:val="32"/>
        </w:rPr>
      </w:pPr>
      <w:r w:rsidRPr="004C6514">
        <w:rPr>
          <w:rFonts w:ascii="Calibri" w:hAnsi="Calibri" w:cs="Calibri"/>
          <w:b/>
          <w:bCs/>
          <w:sz w:val="32"/>
          <w:szCs w:val="32"/>
        </w:rPr>
        <w:t>La borsa nasce in </w:t>
      </w:r>
      <w:r w:rsidRPr="004C6514">
        <w:rPr>
          <w:rStyle w:val="Enfasigrassetto"/>
          <w:rFonts w:ascii="Calibri" w:eastAsiaTheme="majorEastAsia" w:hAnsi="Calibri" w:cs="Calibri"/>
          <w:sz w:val="32"/>
          <w:szCs w:val="32"/>
        </w:rPr>
        <w:t>Belgi</w:t>
      </w:r>
      <w:r w:rsidR="004C6514">
        <w:rPr>
          <w:rStyle w:val="Enfasigrassetto"/>
          <w:rFonts w:ascii="Calibri" w:eastAsiaTheme="majorEastAsia" w:hAnsi="Calibri" w:cs="Calibri"/>
          <w:sz w:val="32"/>
          <w:szCs w:val="32"/>
        </w:rPr>
        <w:t xml:space="preserve">o </w:t>
      </w:r>
      <w:r w:rsidRPr="004C6514">
        <w:rPr>
          <w:rFonts w:ascii="Calibri" w:hAnsi="Calibri" w:cs="Calibri"/>
          <w:b/>
          <w:bCs/>
          <w:sz w:val="32"/>
          <w:szCs w:val="32"/>
        </w:rPr>
        <w:t>a Bruges</w:t>
      </w:r>
      <w:r w:rsidRPr="00302D6E">
        <w:rPr>
          <w:rFonts w:ascii="Calibri" w:hAnsi="Calibri" w:cs="Calibri"/>
          <w:sz w:val="32"/>
          <w:szCs w:val="32"/>
        </w:rPr>
        <w:t xml:space="preserve">, nella </w:t>
      </w:r>
      <w:r w:rsidRPr="00F14BE1">
        <w:rPr>
          <w:rFonts w:ascii="Calibri" w:hAnsi="Calibri" w:cs="Calibri"/>
          <w:b/>
          <w:bCs/>
          <w:sz w:val="32"/>
          <w:szCs w:val="32"/>
        </w:rPr>
        <w:t>metà del XVI secolo</w:t>
      </w:r>
      <w:r w:rsidRPr="00302D6E">
        <w:rPr>
          <w:rFonts w:ascii="Calibri" w:hAnsi="Calibri" w:cs="Calibri"/>
          <w:sz w:val="32"/>
          <w:szCs w:val="32"/>
        </w:rPr>
        <w:t>, nel palazzo della famiglia </w:t>
      </w:r>
      <w:r w:rsidRPr="00F14BE1">
        <w:rPr>
          <w:rStyle w:val="Enfasigrassetto"/>
          <w:rFonts w:ascii="Calibri" w:eastAsiaTheme="majorEastAsia" w:hAnsi="Calibri" w:cs="Calibri"/>
          <w:sz w:val="32"/>
          <w:szCs w:val="32"/>
        </w:rPr>
        <w:t>Van der Bourse</w:t>
      </w:r>
      <w:r w:rsidRPr="00302D6E">
        <w:rPr>
          <w:rFonts w:ascii="Calibri" w:hAnsi="Calibri" w:cs="Calibri"/>
          <w:sz w:val="32"/>
          <w:szCs w:val="32"/>
        </w:rPr>
        <w:t>, dove mercanti e banchieri si riunivano per scambiare titoli di credito, monete estere o merci in arrivo da paesi lontani. La parola borsa trae origine proprio dal </w:t>
      </w:r>
      <w:r w:rsidRPr="00302D6E">
        <w:rPr>
          <w:rStyle w:val="Enfasigrassetto"/>
          <w:rFonts w:ascii="Calibri" w:eastAsiaTheme="majorEastAsia" w:hAnsi="Calibri" w:cs="Calibri"/>
          <w:b w:val="0"/>
          <w:bCs w:val="0"/>
          <w:sz w:val="32"/>
          <w:szCs w:val="32"/>
        </w:rPr>
        <w:t>nome della famiglia</w:t>
      </w:r>
      <w:r w:rsidRPr="00302D6E">
        <w:rPr>
          <w:rFonts w:ascii="Calibri" w:hAnsi="Calibri" w:cs="Calibri"/>
          <w:sz w:val="32"/>
          <w:szCs w:val="32"/>
        </w:rPr>
        <w:t>, sul cui stemma erano impresse </w:t>
      </w:r>
      <w:r w:rsidRPr="00302D6E">
        <w:rPr>
          <w:rStyle w:val="Enfasigrassetto"/>
          <w:rFonts w:ascii="Calibri" w:eastAsiaTheme="majorEastAsia" w:hAnsi="Calibri" w:cs="Calibri"/>
          <w:b w:val="0"/>
          <w:bCs w:val="0"/>
          <w:sz w:val="32"/>
          <w:szCs w:val="32"/>
        </w:rPr>
        <w:t>tre borse</w:t>
      </w:r>
      <w:r w:rsidRPr="00302D6E">
        <w:rPr>
          <w:rFonts w:ascii="Calibri" w:hAnsi="Calibri" w:cs="Calibri"/>
          <w:sz w:val="32"/>
          <w:szCs w:val="32"/>
        </w:rPr>
        <w:t>.</w:t>
      </w:r>
    </w:p>
    <w:p w14:paraId="0512B10C" w14:textId="51483F82" w:rsidR="00230801" w:rsidRPr="00302D6E" w:rsidRDefault="00230801" w:rsidP="00C5231B">
      <w:pPr>
        <w:pStyle w:val="NormaleWeb"/>
        <w:shd w:val="clear" w:color="auto" w:fill="FFFFFF"/>
        <w:spacing w:before="0" w:beforeAutospacing="0" w:after="0" w:afterAutospacing="0"/>
        <w:rPr>
          <w:rFonts w:ascii="Calibri" w:hAnsi="Calibri" w:cs="Calibri"/>
          <w:sz w:val="32"/>
          <w:szCs w:val="32"/>
        </w:rPr>
      </w:pPr>
      <w:r w:rsidRPr="00302D6E">
        <w:rPr>
          <w:rFonts w:ascii="Calibri" w:hAnsi="Calibri" w:cs="Calibri"/>
          <w:sz w:val="32"/>
          <w:szCs w:val="32"/>
        </w:rPr>
        <w:t>Le </w:t>
      </w:r>
      <w:r w:rsidRPr="00302D6E">
        <w:rPr>
          <w:rStyle w:val="Enfasigrassetto"/>
          <w:rFonts w:ascii="Calibri" w:eastAsiaTheme="majorEastAsia" w:hAnsi="Calibri" w:cs="Calibri"/>
          <w:b w:val="0"/>
          <w:bCs w:val="0"/>
          <w:sz w:val="32"/>
          <w:szCs w:val="32"/>
        </w:rPr>
        <w:t>prime vere borse</w:t>
      </w:r>
      <w:r w:rsidRPr="00302D6E">
        <w:rPr>
          <w:rFonts w:ascii="Calibri" w:hAnsi="Calibri" w:cs="Calibri"/>
          <w:sz w:val="32"/>
          <w:szCs w:val="32"/>
        </w:rPr>
        <w:t xml:space="preserve"> in cui scambiare solo valori mobiliari, cioè titoli e monete estere, risalgono </w:t>
      </w:r>
      <w:r w:rsidR="000C1561" w:rsidRPr="00302D6E">
        <w:rPr>
          <w:rFonts w:ascii="Calibri" w:hAnsi="Calibri" w:cs="Calibri"/>
          <w:sz w:val="32"/>
          <w:szCs w:val="32"/>
        </w:rPr>
        <w:t xml:space="preserve">tra </w:t>
      </w:r>
      <w:r w:rsidRPr="00302D6E">
        <w:rPr>
          <w:rFonts w:ascii="Calibri" w:hAnsi="Calibri" w:cs="Calibri"/>
          <w:sz w:val="32"/>
          <w:szCs w:val="32"/>
        </w:rPr>
        <w:t>la fine del XVI secolo</w:t>
      </w:r>
      <w:r w:rsidR="000C1561" w:rsidRPr="00302D6E">
        <w:rPr>
          <w:rFonts w:ascii="Calibri" w:hAnsi="Calibri" w:cs="Calibri"/>
          <w:sz w:val="32"/>
          <w:szCs w:val="32"/>
        </w:rPr>
        <w:t xml:space="preserve"> e</w:t>
      </w:r>
      <w:r w:rsidRPr="00302D6E">
        <w:rPr>
          <w:rFonts w:ascii="Calibri" w:hAnsi="Calibri" w:cs="Calibri"/>
          <w:sz w:val="32"/>
          <w:szCs w:val="32"/>
        </w:rPr>
        <w:t xml:space="preserve"> l’inizio del XVII secolo. </w:t>
      </w:r>
      <w:r w:rsidRPr="00F14BE1">
        <w:rPr>
          <w:rFonts w:ascii="Calibri" w:hAnsi="Calibri" w:cs="Calibri"/>
          <w:b/>
          <w:bCs/>
          <w:sz w:val="32"/>
          <w:szCs w:val="32"/>
        </w:rPr>
        <w:t xml:space="preserve">La prima </w:t>
      </w:r>
      <w:r w:rsidR="00F14BE1" w:rsidRPr="00F14BE1">
        <w:rPr>
          <w:rFonts w:ascii="Calibri" w:hAnsi="Calibri" w:cs="Calibri"/>
          <w:b/>
          <w:bCs/>
          <w:sz w:val="32"/>
          <w:szCs w:val="32"/>
        </w:rPr>
        <w:t xml:space="preserve">vera </w:t>
      </w:r>
      <w:r w:rsidRPr="00F14BE1">
        <w:rPr>
          <w:rFonts w:ascii="Calibri" w:hAnsi="Calibri" w:cs="Calibri"/>
          <w:b/>
          <w:bCs/>
          <w:sz w:val="32"/>
          <w:szCs w:val="32"/>
        </w:rPr>
        <w:t xml:space="preserve">borsa è quella </w:t>
      </w:r>
      <w:r w:rsidRPr="00F87BB3">
        <w:rPr>
          <w:rFonts w:ascii="Calibri" w:hAnsi="Calibri" w:cs="Calibri"/>
          <w:b/>
          <w:bCs/>
          <w:sz w:val="32"/>
          <w:szCs w:val="32"/>
        </w:rPr>
        <w:t>di </w:t>
      </w:r>
      <w:r w:rsidRPr="00F87BB3">
        <w:rPr>
          <w:rStyle w:val="Enfasigrassetto"/>
          <w:rFonts w:ascii="Calibri" w:eastAsiaTheme="majorEastAsia" w:hAnsi="Calibri" w:cs="Calibri"/>
          <w:sz w:val="32"/>
          <w:szCs w:val="32"/>
        </w:rPr>
        <w:t>Anversa</w:t>
      </w:r>
      <w:r w:rsidR="00F87BB3">
        <w:rPr>
          <w:rFonts w:ascii="Calibri" w:hAnsi="Calibri" w:cs="Calibri"/>
          <w:sz w:val="32"/>
          <w:szCs w:val="32"/>
        </w:rPr>
        <w:t>.</w:t>
      </w:r>
      <w:r w:rsidRPr="00302D6E">
        <w:rPr>
          <w:rFonts w:ascii="Calibri" w:hAnsi="Calibri" w:cs="Calibri"/>
          <w:sz w:val="32"/>
          <w:szCs w:val="32"/>
        </w:rPr>
        <w:t xml:space="preserve"> La borsa moderna più antica d’Europa, invece, è la </w:t>
      </w:r>
      <w:r w:rsidRPr="00302D6E">
        <w:rPr>
          <w:rStyle w:val="Enfasigrassetto"/>
          <w:rFonts w:ascii="Calibri" w:eastAsiaTheme="majorEastAsia" w:hAnsi="Calibri" w:cs="Calibri"/>
          <w:b w:val="0"/>
          <w:bCs w:val="0"/>
          <w:sz w:val="32"/>
          <w:szCs w:val="32"/>
        </w:rPr>
        <w:t>Borsa di Amsterdam</w:t>
      </w:r>
      <w:r w:rsidRPr="00302D6E">
        <w:rPr>
          <w:rFonts w:ascii="Calibri" w:hAnsi="Calibri" w:cs="Calibri"/>
          <w:sz w:val="32"/>
          <w:szCs w:val="32"/>
        </w:rPr>
        <w:t>, fondata verso la fine del Cinquecento. Nel 1724 nasce la </w:t>
      </w:r>
      <w:r w:rsidRPr="00302D6E">
        <w:rPr>
          <w:rStyle w:val="Enfasigrassetto"/>
          <w:rFonts w:ascii="Calibri" w:eastAsiaTheme="majorEastAsia" w:hAnsi="Calibri" w:cs="Calibri"/>
          <w:b w:val="0"/>
          <w:bCs w:val="0"/>
          <w:sz w:val="32"/>
          <w:szCs w:val="32"/>
        </w:rPr>
        <w:t>Borsa di Parigi</w:t>
      </w:r>
      <w:r w:rsidRPr="00302D6E">
        <w:rPr>
          <w:rFonts w:ascii="Calibri" w:hAnsi="Calibri" w:cs="Calibri"/>
          <w:sz w:val="32"/>
          <w:szCs w:val="32"/>
        </w:rPr>
        <w:t> e nel 1792 il </w:t>
      </w:r>
      <w:r w:rsidRPr="00302D6E">
        <w:rPr>
          <w:rStyle w:val="Enfasigrassetto"/>
          <w:rFonts w:ascii="Calibri" w:eastAsiaTheme="majorEastAsia" w:hAnsi="Calibri" w:cs="Calibri"/>
          <w:b w:val="0"/>
          <w:bCs w:val="0"/>
          <w:sz w:val="32"/>
          <w:szCs w:val="32"/>
        </w:rPr>
        <w:t>NYSE - New York Stock Exchange</w:t>
      </w:r>
      <w:r w:rsidRPr="00302D6E">
        <w:rPr>
          <w:rFonts w:ascii="Calibri" w:hAnsi="Calibri" w:cs="Calibri"/>
          <w:sz w:val="32"/>
          <w:szCs w:val="32"/>
        </w:rPr>
        <w:t>.</w:t>
      </w:r>
    </w:p>
    <w:p w14:paraId="119DC9A5" w14:textId="77777777" w:rsidR="009261D3" w:rsidRDefault="00230801" w:rsidP="00C5231B">
      <w:pPr>
        <w:pStyle w:val="NormaleWeb"/>
        <w:shd w:val="clear" w:color="auto" w:fill="FFFFFF"/>
        <w:spacing w:before="0" w:beforeAutospacing="0" w:after="0" w:afterAutospacing="0"/>
        <w:rPr>
          <w:rFonts w:ascii="Calibri" w:hAnsi="Calibri" w:cs="Calibri"/>
          <w:sz w:val="32"/>
          <w:szCs w:val="32"/>
        </w:rPr>
      </w:pPr>
      <w:r w:rsidRPr="00302D6E">
        <w:rPr>
          <w:rFonts w:ascii="Calibri" w:hAnsi="Calibri" w:cs="Calibri"/>
          <w:sz w:val="32"/>
          <w:szCs w:val="32"/>
        </w:rPr>
        <w:t xml:space="preserve">Nel mercato moderno, gli </w:t>
      </w:r>
      <w:r w:rsidRPr="00F87BB3">
        <w:rPr>
          <w:rFonts w:ascii="Calibri" w:hAnsi="Calibri" w:cs="Calibri"/>
          <w:b/>
          <w:bCs/>
          <w:sz w:val="32"/>
          <w:szCs w:val="32"/>
        </w:rPr>
        <w:t>ordini di acquisto e di vendita</w:t>
      </w:r>
      <w:r w:rsidRPr="00302D6E">
        <w:rPr>
          <w:rFonts w:ascii="Calibri" w:hAnsi="Calibri" w:cs="Calibri"/>
          <w:sz w:val="32"/>
          <w:szCs w:val="32"/>
        </w:rPr>
        <w:t xml:space="preserve"> di azioni erano </w:t>
      </w:r>
      <w:r w:rsidRPr="00F87BB3">
        <w:rPr>
          <w:rFonts w:ascii="Calibri" w:hAnsi="Calibri" w:cs="Calibri"/>
          <w:b/>
          <w:bCs/>
          <w:sz w:val="32"/>
          <w:szCs w:val="32"/>
        </w:rPr>
        <w:t>effettuati </w:t>
      </w:r>
      <w:r w:rsidRPr="00F87BB3">
        <w:rPr>
          <w:rStyle w:val="Enfasigrassetto"/>
          <w:rFonts w:ascii="Calibri" w:eastAsiaTheme="majorEastAsia" w:hAnsi="Calibri" w:cs="Calibri"/>
          <w:sz w:val="32"/>
          <w:szCs w:val="32"/>
        </w:rPr>
        <w:t>alle grida</w:t>
      </w:r>
      <w:r w:rsidRPr="00302D6E">
        <w:rPr>
          <w:rFonts w:ascii="Calibri" w:hAnsi="Calibri" w:cs="Calibri"/>
          <w:sz w:val="32"/>
          <w:szCs w:val="32"/>
        </w:rPr>
        <w:t>: la contrattazione di un titolo avveniva in un determinato momento della seduta di borsa, durante cui gli intermediari intorno ad un recinto </w:t>
      </w:r>
      <w:r w:rsidRPr="00302D6E">
        <w:rPr>
          <w:rStyle w:val="Enfasigrassetto"/>
          <w:rFonts w:ascii="Calibri" w:eastAsiaTheme="majorEastAsia" w:hAnsi="Calibri" w:cs="Calibri"/>
          <w:b w:val="0"/>
          <w:bCs w:val="0"/>
          <w:sz w:val="32"/>
          <w:szCs w:val="32"/>
        </w:rPr>
        <w:t>gridavano</w:t>
      </w:r>
      <w:r w:rsidRPr="00302D6E">
        <w:rPr>
          <w:rFonts w:ascii="Calibri" w:hAnsi="Calibri" w:cs="Calibri"/>
          <w:sz w:val="32"/>
          <w:szCs w:val="32"/>
        </w:rPr>
        <w:t> i prezzi ai quali erano disposti a vendere o acquistare, finché non si trovava una controparte che accettasse la vendita o l’acquisto a quel determinato prezzo.</w:t>
      </w:r>
    </w:p>
    <w:p w14:paraId="3CBDD122" w14:textId="5D962F93" w:rsidR="00955858" w:rsidRDefault="00955858" w:rsidP="00C5231B">
      <w:pPr>
        <w:pStyle w:val="NormaleWeb"/>
        <w:shd w:val="clear" w:color="auto" w:fill="FFFFFF"/>
        <w:spacing w:before="0" w:beforeAutospacing="0" w:after="0" w:afterAutospacing="0"/>
        <w:rPr>
          <w:rFonts w:ascii="Calibri" w:hAnsi="Calibri" w:cs="Calibri"/>
          <w:sz w:val="32"/>
          <w:szCs w:val="32"/>
        </w:rPr>
      </w:pPr>
      <w:r w:rsidRPr="00302D6E">
        <w:rPr>
          <w:rFonts w:ascii="Calibri" w:hAnsi="Calibri" w:cs="Calibri"/>
          <w:sz w:val="32"/>
          <w:szCs w:val="32"/>
        </w:rPr>
        <w:t>Nel 1996, in Italia, a tutti i titoli quotati è stata estesa la </w:t>
      </w:r>
      <w:r w:rsidRPr="00F87BB3">
        <w:rPr>
          <w:rStyle w:val="Enfasigrassetto"/>
          <w:rFonts w:ascii="Calibri" w:eastAsiaTheme="majorEastAsia" w:hAnsi="Calibri" w:cs="Calibri"/>
          <w:sz w:val="32"/>
          <w:szCs w:val="32"/>
        </w:rPr>
        <w:t>borsa telematica</w:t>
      </w:r>
      <w:r w:rsidRPr="00302D6E">
        <w:rPr>
          <w:rFonts w:ascii="Calibri" w:hAnsi="Calibri" w:cs="Calibri"/>
          <w:sz w:val="32"/>
          <w:szCs w:val="32"/>
        </w:rPr>
        <w:t>: oggi gli ordini di acquisto e di vendita di azioni sono effettuati</w:t>
      </w:r>
      <w:r>
        <w:rPr>
          <w:rFonts w:ascii="Calibri" w:hAnsi="Calibri" w:cs="Calibri"/>
          <w:sz w:val="32"/>
          <w:szCs w:val="32"/>
        </w:rPr>
        <w:t xml:space="preserve"> </w:t>
      </w:r>
      <w:r w:rsidRPr="00302D6E">
        <w:rPr>
          <w:rFonts w:ascii="Calibri" w:hAnsi="Calibri" w:cs="Calibri"/>
          <w:sz w:val="32"/>
          <w:szCs w:val="32"/>
        </w:rPr>
        <w:t>attraverso </w:t>
      </w:r>
      <w:r w:rsidRPr="00302D6E">
        <w:rPr>
          <w:rStyle w:val="Enfasigrassetto"/>
          <w:rFonts w:ascii="Calibri" w:eastAsiaTheme="majorEastAsia" w:hAnsi="Calibri" w:cs="Calibri"/>
          <w:b w:val="0"/>
          <w:bCs w:val="0"/>
          <w:sz w:val="32"/>
          <w:szCs w:val="32"/>
        </w:rPr>
        <w:t>grandi computer</w:t>
      </w:r>
      <w:r w:rsidRPr="00302D6E">
        <w:rPr>
          <w:rFonts w:ascii="Calibri" w:hAnsi="Calibri" w:cs="Calibri"/>
          <w:sz w:val="32"/>
          <w:szCs w:val="32"/>
        </w:rPr>
        <w:t> che operano in borsa e non è più necessaria la presenza fisica dell’intermediario.</w:t>
      </w:r>
    </w:p>
    <w:p w14:paraId="14D62BE2" w14:textId="77777777" w:rsidR="00FB2A9B" w:rsidRPr="00FB2A9B" w:rsidRDefault="00FB2A9B" w:rsidP="00C5231B">
      <w:pPr>
        <w:pStyle w:val="NormaleWeb"/>
        <w:shd w:val="clear" w:color="auto" w:fill="FFFFFF"/>
        <w:spacing w:before="0" w:beforeAutospacing="0" w:after="0" w:afterAutospacing="0"/>
        <w:rPr>
          <w:rFonts w:ascii="Calibri" w:hAnsi="Calibri" w:cs="Calibri"/>
        </w:rPr>
      </w:pPr>
    </w:p>
    <w:p w14:paraId="4E98AB23" w14:textId="279BF35C" w:rsidR="009261D3" w:rsidRDefault="00FB2A9B" w:rsidP="00FB2A9B">
      <w:pPr>
        <w:pStyle w:val="NormaleWeb"/>
        <w:shd w:val="clear" w:color="auto" w:fill="FFFFFF"/>
        <w:spacing w:before="0" w:beforeAutospacing="0" w:after="0" w:afterAutospacing="0"/>
        <w:jc w:val="center"/>
        <w:rPr>
          <w:rFonts w:ascii="Calibri" w:hAnsi="Calibri" w:cs="Calibri"/>
          <w:sz w:val="28"/>
          <w:szCs w:val="28"/>
        </w:rPr>
      </w:pPr>
      <w:r>
        <w:rPr>
          <w:noProof/>
        </w:rPr>
        <w:drawing>
          <wp:inline distT="0" distB="0" distL="0" distR="0" wp14:anchorId="70677024" wp14:editId="4C802F52">
            <wp:extent cx="3052305" cy="2247900"/>
            <wp:effectExtent l="0" t="0" r="0" b="0"/>
            <wp:docPr id="949949788" name="Immagine 4" descr="Vista della Borsa di Anversa, fondata nel 1531, Collezione Priv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ista della Borsa di Anversa, fondata nel 1531, Collezione Prive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52305" cy="2247900"/>
                    </a:xfrm>
                    <a:prstGeom prst="rect">
                      <a:avLst/>
                    </a:prstGeom>
                    <a:noFill/>
                    <a:ln>
                      <a:noFill/>
                    </a:ln>
                  </pic:spPr>
                </pic:pic>
              </a:graphicData>
            </a:graphic>
          </wp:inline>
        </w:drawing>
      </w:r>
    </w:p>
    <w:p w14:paraId="6B56FCFE" w14:textId="0F4A45F7" w:rsidR="00FB2A9B" w:rsidRPr="006361DD" w:rsidRDefault="006361DD" w:rsidP="00FB2A9B">
      <w:pPr>
        <w:pStyle w:val="NormaleWeb"/>
        <w:shd w:val="clear" w:color="auto" w:fill="FFFFFF"/>
        <w:spacing w:before="0" w:beforeAutospacing="0" w:after="0" w:afterAutospacing="0"/>
        <w:jc w:val="center"/>
        <w:rPr>
          <w:rFonts w:ascii="Calibri" w:hAnsi="Calibri" w:cs="Calibri"/>
        </w:rPr>
      </w:pPr>
      <w:r>
        <w:rPr>
          <w:rFonts w:ascii="Calibri" w:hAnsi="Calibri" w:cs="Calibri"/>
        </w:rPr>
        <w:t>Disegno dell’antica</w:t>
      </w:r>
      <w:r w:rsidR="00FB2A9B" w:rsidRPr="006361DD">
        <w:rPr>
          <w:rFonts w:ascii="Calibri" w:hAnsi="Calibri" w:cs="Calibri"/>
        </w:rPr>
        <w:t xml:space="preserve"> Borsa di Anversa</w:t>
      </w:r>
    </w:p>
    <w:p w14:paraId="6E95034D" w14:textId="685FE353" w:rsidR="00230801" w:rsidRDefault="009261D3" w:rsidP="00C5231B">
      <w:pPr>
        <w:pStyle w:val="NormaleWeb"/>
        <w:shd w:val="clear" w:color="auto" w:fill="FFFFFF"/>
        <w:spacing w:before="0" w:beforeAutospacing="0" w:after="0" w:afterAutospacing="0"/>
        <w:rPr>
          <w:rFonts w:asciiTheme="majorHAnsi" w:hAnsiTheme="majorHAnsi" w:cs="Calibri"/>
          <w:sz w:val="40"/>
          <w:szCs w:val="40"/>
        </w:rPr>
      </w:pPr>
      <w:r>
        <w:rPr>
          <w:rFonts w:asciiTheme="majorHAnsi" w:hAnsiTheme="majorHAnsi" w:cs="Calibri"/>
          <w:sz w:val="40"/>
          <w:szCs w:val="40"/>
        </w:rPr>
        <w:lastRenderedPageBreak/>
        <w:t>La Borsa in Italia</w:t>
      </w:r>
    </w:p>
    <w:p w14:paraId="532B2AE1" w14:textId="3A18D3BA" w:rsidR="003A0BC4" w:rsidRPr="00302D6E" w:rsidRDefault="00230801" w:rsidP="00C5231B">
      <w:pPr>
        <w:shd w:val="clear" w:color="auto" w:fill="FFFFFF"/>
        <w:spacing w:after="0" w:line="240" w:lineRule="auto"/>
        <w:rPr>
          <w:rFonts w:ascii="Calibri" w:eastAsia="Times New Roman" w:hAnsi="Calibri" w:cs="Calibri"/>
          <w:kern w:val="0"/>
          <w:sz w:val="32"/>
          <w:szCs w:val="32"/>
          <w:lang w:eastAsia="it-IT"/>
          <w14:ligatures w14:val="none"/>
        </w:rPr>
      </w:pPr>
      <w:r w:rsidRPr="00302D6E">
        <w:rPr>
          <w:rFonts w:ascii="Calibri" w:eastAsia="Times New Roman" w:hAnsi="Calibri" w:cs="Calibri"/>
          <w:kern w:val="0"/>
          <w:sz w:val="32"/>
          <w:szCs w:val="32"/>
          <w:lang w:eastAsia="it-IT"/>
          <w14:ligatures w14:val="none"/>
        </w:rPr>
        <w:t xml:space="preserve">La </w:t>
      </w:r>
      <w:r w:rsidRPr="00F87BB3">
        <w:rPr>
          <w:rFonts w:ascii="Calibri" w:eastAsia="Times New Roman" w:hAnsi="Calibri" w:cs="Calibri"/>
          <w:b/>
          <w:bCs/>
          <w:kern w:val="0"/>
          <w:sz w:val="32"/>
          <w:szCs w:val="32"/>
          <w:lang w:eastAsia="it-IT"/>
          <w14:ligatures w14:val="none"/>
        </w:rPr>
        <w:t>Borsa di commercio di Milano</w:t>
      </w:r>
      <w:r w:rsidRPr="00302D6E">
        <w:rPr>
          <w:rFonts w:ascii="Calibri" w:eastAsia="Times New Roman" w:hAnsi="Calibri" w:cs="Calibri"/>
          <w:kern w:val="0"/>
          <w:sz w:val="32"/>
          <w:szCs w:val="32"/>
          <w:lang w:eastAsia="it-IT"/>
          <w14:ligatures w14:val="none"/>
        </w:rPr>
        <w:t xml:space="preserve"> venne </w:t>
      </w:r>
      <w:r w:rsidRPr="00F87BB3">
        <w:rPr>
          <w:rFonts w:ascii="Calibri" w:eastAsia="Times New Roman" w:hAnsi="Calibri" w:cs="Calibri"/>
          <w:b/>
          <w:bCs/>
          <w:kern w:val="0"/>
          <w:sz w:val="32"/>
          <w:szCs w:val="32"/>
          <w:lang w:eastAsia="it-IT"/>
          <w14:ligatures w14:val="none"/>
        </w:rPr>
        <w:t>istituita</w:t>
      </w:r>
      <w:r w:rsidRPr="00302D6E">
        <w:rPr>
          <w:rFonts w:ascii="Calibri" w:eastAsia="Times New Roman" w:hAnsi="Calibri" w:cs="Calibri"/>
          <w:kern w:val="0"/>
          <w:sz w:val="32"/>
          <w:szCs w:val="32"/>
          <w:lang w:eastAsia="it-IT"/>
          <w14:ligatures w14:val="none"/>
        </w:rPr>
        <w:t xml:space="preserve"> dal decreto del 16 gennaio </w:t>
      </w:r>
      <w:r w:rsidRPr="00F87BB3">
        <w:rPr>
          <w:rFonts w:ascii="Calibri" w:eastAsia="Times New Roman" w:hAnsi="Calibri" w:cs="Calibri"/>
          <w:b/>
          <w:bCs/>
          <w:kern w:val="0"/>
          <w:sz w:val="32"/>
          <w:szCs w:val="32"/>
          <w:lang w:eastAsia="it-IT"/>
          <w14:ligatures w14:val="none"/>
        </w:rPr>
        <w:t>1808</w:t>
      </w:r>
      <w:r w:rsidR="00ED6C29" w:rsidRPr="00302D6E">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con cui il </w:t>
      </w:r>
      <w:r w:rsidR="00170B14" w:rsidRPr="00302D6E">
        <w:rPr>
          <w:rFonts w:ascii="Calibri" w:eastAsia="Times New Roman" w:hAnsi="Calibri" w:cs="Calibri"/>
          <w:kern w:val="0"/>
          <w:sz w:val="32"/>
          <w:szCs w:val="32"/>
          <w:lang w:eastAsia="it-IT"/>
          <w14:ligatures w14:val="none"/>
        </w:rPr>
        <w:t>viceré</w:t>
      </w:r>
      <w:r w:rsidRPr="00302D6E">
        <w:rPr>
          <w:rFonts w:ascii="Calibri" w:eastAsia="Times New Roman" w:hAnsi="Calibri" w:cs="Calibri"/>
          <w:kern w:val="0"/>
          <w:sz w:val="32"/>
          <w:szCs w:val="32"/>
          <w:lang w:eastAsia="it-IT"/>
          <w14:ligatures w14:val="none"/>
        </w:rPr>
        <w:t xml:space="preserve"> </w:t>
      </w:r>
      <w:r w:rsidR="00170B14" w:rsidRPr="00302D6E">
        <w:rPr>
          <w:rFonts w:ascii="Calibri" w:eastAsia="Times New Roman" w:hAnsi="Calibri" w:cs="Calibri"/>
          <w:kern w:val="0"/>
          <w:sz w:val="32"/>
          <w:szCs w:val="32"/>
          <w:lang w:eastAsia="it-IT"/>
          <w14:ligatures w14:val="none"/>
        </w:rPr>
        <w:t xml:space="preserve">d’Italia </w:t>
      </w:r>
      <w:r w:rsidRPr="00302D6E">
        <w:rPr>
          <w:rFonts w:ascii="Calibri" w:eastAsia="Times New Roman" w:hAnsi="Calibri" w:cs="Calibri"/>
          <w:kern w:val="0"/>
          <w:sz w:val="32"/>
          <w:szCs w:val="32"/>
          <w:lang w:eastAsia="it-IT"/>
          <w14:ligatures w14:val="none"/>
        </w:rPr>
        <w:t>Eugenio Napoleone ne ordinò l’apertura entro un mese. Lo stesso decreto affidava ad “una commissione di quindici tra banchieri, negozianti e sensali”, appositamente nominata dal ministro dell'Interno, la ricerca di una sede provvisoria</w:t>
      </w:r>
      <w:r w:rsidR="00ED6C29" w:rsidRPr="009261D3">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per l'immediata apertura</w:t>
      </w:r>
      <w:r w:rsidR="00ED6C29" w:rsidRPr="009261D3">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e di una sede adeguata dove tenere definitivamente le riunioni di borsa. Un secondo decreto datato 6 febbraio 1808 stabilì un </w:t>
      </w:r>
      <w:r w:rsidRPr="00F87BB3">
        <w:rPr>
          <w:rFonts w:ascii="Calibri" w:eastAsia="Times New Roman" w:hAnsi="Calibri" w:cs="Calibri"/>
          <w:b/>
          <w:bCs/>
          <w:kern w:val="0"/>
          <w:sz w:val="32"/>
          <w:szCs w:val="32"/>
          <w:lang w:eastAsia="it-IT"/>
          <w14:ligatures w14:val="none"/>
        </w:rPr>
        <w:t>primo regolamento per il funzionamento della Borsa</w:t>
      </w:r>
      <w:r w:rsidRPr="00302D6E">
        <w:rPr>
          <w:rFonts w:ascii="Calibri" w:eastAsia="Times New Roman" w:hAnsi="Calibri" w:cs="Calibri"/>
          <w:kern w:val="0"/>
          <w:sz w:val="32"/>
          <w:szCs w:val="32"/>
          <w:lang w:eastAsia="it-IT"/>
          <w14:ligatures w14:val="none"/>
        </w:rPr>
        <w:t>.</w:t>
      </w:r>
    </w:p>
    <w:p w14:paraId="0D5B8E86" w14:textId="065CE7A1" w:rsidR="00B720CA" w:rsidRDefault="00985E44" w:rsidP="00C5231B">
      <w:pPr>
        <w:shd w:val="clear" w:color="auto" w:fill="FFFFFF"/>
        <w:spacing w:after="0" w:line="240" w:lineRule="auto"/>
        <w:rPr>
          <w:rFonts w:ascii="Calibri" w:eastAsia="Times New Roman" w:hAnsi="Calibri" w:cs="Calibri"/>
          <w:kern w:val="0"/>
          <w:sz w:val="32"/>
          <w:szCs w:val="32"/>
          <w:lang w:eastAsia="it-IT"/>
          <w14:ligatures w14:val="none"/>
        </w:rPr>
      </w:pPr>
      <w:r w:rsidRPr="00302D6E">
        <w:rPr>
          <w:rFonts w:ascii="Calibri" w:eastAsia="Times New Roman" w:hAnsi="Calibri" w:cs="Calibri"/>
          <w:kern w:val="0"/>
          <w:sz w:val="32"/>
          <w:szCs w:val="32"/>
          <w:lang w:eastAsia="it-IT"/>
          <w14:ligatures w14:val="none"/>
        </w:rPr>
        <w:t>Prima dell’istituzione napoleonica, l'attività di cambio e la vendita all'</w:t>
      </w:r>
      <w:r w:rsidR="00170B14" w:rsidRPr="00302D6E">
        <w:rPr>
          <w:rFonts w:ascii="Calibri" w:eastAsia="Times New Roman" w:hAnsi="Calibri" w:cs="Calibri"/>
          <w:kern w:val="0"/>
          <w:sz w:val="32"/>
          <w:szCs w:val="32"/>
          <w:lang w:eastAsia="it-IT"/>
          <w14:ligatures w14:val="none"/>
        </w:rPr>
        <w:t>asta</w:t>
      </w:r>
      <w:r w:rsidRPr="00302D6E">
        <w:rPr>
          <w:rFonts w:ascii="Calibri" w:eastAsia="Times New Roman" w:hAnsi="Calibri" w:cs="Calibri"/>
          <w:kern w:val="0"/>
          <w:sz w:val="32"/>
          <w:szCs w:val="32"/>
          <w:lang w:eastAsia="it-IT"/>
          <w14:ligatures w14:val="none"/>
        </w:rPr>
        <w:t xml:space="preserve"> degli effetti pubblici erano già praticati sulla piazza milanese</w:t>
      </w:r>
      <w:r w:rsidR="00ED6C29" w:rsidRPr="00302D6E">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w:t>
      </w:r>
      <w:r w:rsidR="00955858">
        <w:rPr>
          <w:rFonts w:ascii="Calibri" w:eastAsia="Times New Roman" w:hAnsi="Calibri" w:cs="Calibri"/>
          <w:kern w:val="0"/>
          <w:sz w:val="32"/>
          <w:szCs w:val="32"/>
          <w:lang w:eastAsia="it-IT"/>
          <w14:ligatures w14:val="none"/>
        </w:rPr>
        <w:t xml:space="preserve">infatti, le prime borse furono fondate alla fine del Settecento </w:t>
      </w:r>
      <w:r w:rsidRPr="00302D6E">
        <w:rPr>
          <w:rFonts w:ascii="Calibri" w:eastAsia="Times New Roman" w:hAnsi="Calibri" w:cs="Calibri"/>
          <w:kern w:val="0"/>
          <w:sz w:val="32"/>
          <w:szCs w:val="32"/>
          <w:lang w:eastAsia="it-IT"/>
          <w14:ligatures w14:val="none"/>
        </w:rPr>
        <w:t>nelle principali città italiane</w:t>
      </w:r>
      <w:r w:rsidR="00955858">
        <w:rPr>
          <w:rFonts w:ascii="Calibri" w:eastAsia="Times New Roman" w:hAnsi="Calibri" w:cs="Calibri"/>
          <w:kern w:val="0"/>
          <w:sz w:val="32"/>
          <w:szCs w:val="32"/>
          <w:lang w:eastAsia="it-IT"/>
          <w14:ligatures w14:val="none"/>
        </w:rPr>
        <w:t xml:space="preserve">, come: </w:t>
      </w:r>
      <w:r w:rsidR="00955858" w:rsidRPr="00302D6E">
        <w:rPr>
          <w:rFonts w:ascii="Calibri" w:hAnsi="Calibri" w:cs="Calibri"/>
          <w:sz w:val="32"/>
          <w:szCs w:val="32"/>
        </w:rPr>
        <w:t>Trieste, Roma, Milano, Napoli, Torino, Genova, Bologna, Palermo, Venezia</w:t>
      </w:r>
      <w:r w:rsidRPr="00302D6E">
        <w:rPr>
          <w:rFonts w:ascii="Calibri" w:eastAsia="Times New Roman" w:hAnsi="Calibri" w:cs="Calibri"/>
          <w:kern w:val="0"/>
          <w:sz w:val="32"/>
          <w:szCs w:val="32"/>
          <w:lang w:eastAsia="it-IT"/>
          <w14:ligatures w14:val="none"/>
        </w:rPr>
        <w:t>. Senza voler risalire ai banchi dei cambiatori medievali e alle periodiche riunioni di mercanti presso le fiere</w:t>
      </w:r>
      <w:r w:rsidR="00170B14" w:rsidRPr="00302D6E">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va sottolineato come i due decreti istitutivi siano stati preceduti nel </w:t>
      </w:r>
      <w:r w:rsidRPr="00F87BB3">
        <w:rPr>
          <w:rFonts w:ascii="Calibri" w:eastAsia="Times New Roman" w:hAnsi="Calibri" w:cs="Calibri"/>
          <w:b/>
          <w:bCs/>
          <w:kern w:val="0"/>
          <w:sz w:val="32"/>
          <w:szCs w:val="32"/>
          <w:lang w:eastAsia="it-IT"/>
          <w14:ligatures w14:val="none"/>
        </w:rPr>
        <w:t>1807</w:t>
      </w:r>
      <w:r w:rsidRPr="00302D6E">
        <w:rPr>
          <w:rFonts w:ascii="Calibri" w:eastAsia="Times New Roman" w:hAnsi="Calibri" w:cs="Calibri"/>
          <w:kern w:val="0"/>
          <w:sz w:val="32"/>
          <w:szCs w:val="32"/>
          <w:lang w:eastAsia="it-IT"/>
          <w14:ligatures w14:val="none"/>
        </w:rPr>
        <w:t xml:space="preserve"> da una </w:t>
      </w:r>
      <w:r w:rsidRPr="00F87BB3">
        <w:rPr>
          <w:rFonts w:ascii="Calibri" w:eastAsia="Times New Roman" w:hAnsi="Calibri" w:cs="Calibri"/>
          <w:b/>
          <w:bCs/>
          <w:kern w:val="0"/>
          <w:sz w:val="32"/>
          <w:szCs w:val="32"/>
          <w:lang w:eastAsia="it-IT"/>
          <w14:ligatures w14:val="none"/>
        </w:rPr>
        <w:t>petizione della Camera di commercio</w:t>
      </w:r>
      <w:r w:rsidR="00170B14" w:rsidRPr="00302D6E">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rappresentante del ceto mercantile milanese. Essa chiedeva alle autorità francesi di ristabilire una borsa “come esisteva ne</w:t>
      </w:r>
      <w:r w:rsidR="00170B14" w:rsidRPr="00302D6E">
        <w:rPr>
          <w:rFonts w:ascii="Calibri" w:eastAsia="Times New Roman" w:hAnsi="Calibri" w:cs="Calibri"/>
          <w:kern w:val="0"/>
          <w:sz w:val="32"/>
          <w:szCs w:val="32"/>
          <w:lang w:eastAsia="it-IT"/>
          <w14:ligatures w14:val="none"/>
        </w:rPr>
        <w:t>i</w:t>
      </w:r>
      <w:r w:rsidRPr="00302D6E">
        <w:rPr>
          <w:rFonts w:ascii="Calibri" w:eastAsia="Times New Roman" w:hAnsi="Calibri" w:cs="Calibri"/>
          <w:kern w:val="0"/>
          <w:sz w:val="32"/>
          <w:szCs w:val="32"/>
          <w:lang w:eastAsia="it-IT"/>
          <w14:ligatures w14:val="none"/>
        </w:rPr>
        <w:t xml:space="preserve"> tempi antichi” e dove poter effettuare “lo sconto per il pagamento delle cambiali”.</w:t>
      </w:r>
      <w:r w:rsidRPr="00302D6E">
        <w:rPr>
          <w:rFonts w:ascii="Calibri" w:eastAsia="Times New Roman" w:hAnsi="Calibri" w:cs="Calibri"/>
          <w:kern w:val="0"/>
          <w:sz w:val="32"/>
          <w:szCs w:val="32"/>
          <w:lang w:eastAsia="it-IT"/>
          <w14:ligatures w14:val="none"/>
        </w:rPr>
        <w:br/>
        <w:t>Nel piano di revisione urbanistica</w:t>
      </w:r>
      <w:r w:rsidR="00F25879" w:rsidRPr="00302D6E">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avviato all'inizio dell'Ottocento</w:t>
      </w:r>
      <w:r w:rsidR="00F25879" w:rsidRPr="00302D6E">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per dotare Milano di strutture adeguate al suo status di capitale della Repubblica Cisalpina</w:t>
      </w:r>
      <w:r w:rsidR="00F25879" w:rsidRPr="00302D6E">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figurava anche </w:t>
      </w:r>
      <w:r w:rsidRPr="00F87BB3">
        <w:rPr>
          <w:rFonts w:ascii="Calibri" w:eastAsia="Times New Roman" w:hAnsi="Calibri" w:cs="Calibri"/>
          <w:b/>
          <w:bCs/>
          <w:kern w:val="0"/>
          <w:sz w:val="32"/>
          <w:szCs w:val="32"/>
          <w:lang w:eastAsia="it-IT"/>
          <w14:ligatures w14:val="none"/>
        </w:rPr>
        <w:t>l'edificazione di una sede monumentale per la Borsa</w:t>
      </w:r>
      <w:r w:rsidRPr="00302D6E">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br/>
        <w:t>Gli operatori che agivano già sulla piazza di Milano</w:t>
      </w:r>
      <w:r w:rsidR="00F25879" w:rsidRPr="00302D6E">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con il nome di sensali</w:t>
      </w:r>
      <w:r w:rsidR="00F25879" w:rsidRPr="00302D6E">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furono definiti secondo la formula francese </w:t>
      </w:r>
      <w:r w:rsidRPr="00F87BB3">
        <w:rPr>
          <w:rFonts w:ascii="Calibri" w:eastAsia="Times New Roman" w:hAnsi="Calibri" w:cs="Calibri"/>
          <w:b/>
          <w:bCs/>
          <w:kern w:val="0"/>
          <w:sz w:val="32"/>
          <w:szCs w:val="32"/>
          <w:lang w:eastAsia="it-IT"/>
          <w14:ligatures w14:val="none"/>
        </w:rPr>
        <w:t>agenti di cambio</w:t>
      </w:r>
      <w:r w:rsidRPr="00302D6E">
        <w:rPr>
          <w:rFonts w:ascii="Calibri" w:eastAsia="Times New Roman" w:hAnsi="Calibri" w:cs="Calibri"/>
          <w:kern w:val="0"/>
          <w:sz w:val="32"/>
          <w:szCs w:val="32"/>
          <w:lang w:eastAsia="it-IT"/>
          <w14:ligatures w14:val="none"/>
        </w:rPr>
        <w:t>. La vera novità introdotta in Italia</w:t>
      </w:r>
      <w:r w:rsidR="00F25879" w:rsidRPr="00302D6E">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dalla normativa francese del 1808</w:t>
      </w:r>
      <w:r w:rsidR="00F25879" w:rsidRPr="00302D6E">
        <w:rPr>
          <w:rFonts w:ascii="Calibri" w:eastAsia="Times New Roman" w:hAnsi="Calibri" w:cs="Calibri"/>
          <w:kern w:val="0"/>
          <w:sz w:val="32"/>
          <w:szCs w:val="32"/>
          <w:lang w:eastAsia="it-IT"/>
          <w14:ligatures w14:val="none"/>
        </w:rPr>
        <w:t>,</w:t>
      </w:r>
      <w:r w:rsidRPr="00302D6E">
        <w:rPr>
          <w:rFonts w:ascii="Calibri" w:eastAsia="Times New Roman" w:hAnsi="Calibri" w:cs="Calibri"/>
          <w:kern w:val="0"/>
          <w:sz w:val="32"/>
          <w:szCs w:val="32"/>
          <w:lang w:eastAsia="it-IT"/>
          <w14:ligatures w14:val="none"/>
        </w:rPr>
        <w:t xml:space="preserve"> fu il </w:t>
      </w:r>
      <w:r w:rsidRPr="00F87BB3">
        <w:rPr>
          <w:rFonts w:ascii="Calibri" w:eastAsia="Times New Roman" w:hAnsi="Calibri" w:cs="Calibri"/>
          <w:b/>
          <w:bCs/>
          <w:kern w:val="0"/>
          <w:sz w:val="32"/>
          <w:szCs w:val="32"/>
          <w:lang w:eastAsia="it-IT"/>
          <w14:ligatures w14:val="none"/>
        </w:rPr>
        <w:t>regime pubblicistico</w:t>
      </w:r>
      <w:r w:rsidRPr="00302D6E">
        <w:rPr>
          <w:rFonts w:ascii="Calibri" w:eastAsia="Times New Roman" w:hAnsi="Calibri" w:cs="Calibri"/>
          <w:kern w:val="0"/>
          <w:sz w:val="32"/>
          <w:szCs w:val="32"/>
          <w:lang w:eastAsia="it-IT"/>
          <w14:ligatures w14:val="none"/>
        </w:rPr>
        <w:t xml:space="preserve"> delle Borse di commercio. Questo contraddistinse il mercato finanziario italiano fino al 1998, differenziandolo dal sistema anglosassone dove le borse si erano costituite per la libera associazione degli operatori.</w:t>
      </w:r>
      <w:r w:rsidRPr="00302D6E">
        <w:rPr>
          <w:rFonts w:ascii="Calibri" w:eastAsia="Times New Roman" w:hAnsi="Calibri" w:cs="Calibri"/>
          <w:kern w:val="0"/>
          <w:sz w:val="32"/>
          <w:szCs w:val="32"/>
          <w:lang w:eastAsia="it-IT"/>
          <w14:ligatures w14:val="none"/>
        </w:rPr>
        <w:br/>
        <w:t xml:space="preserve">La Borsa di Milano nacque quindi con una identità originaria a mezzo fra l'interesse dei banchieri locali di avere un luogo di adunanza e di sconto personale e il desiderio dei francesi di disporre di un mercato il più </w:t>
      </w:r>
      <w:r w:rsidRPr="00302D6E">
        <w:rPr>
          <w:rFonts w:ascii="Calibri" w:eastAsia="Times New Roman" w:hAnsi="Calibri" w:cs="Calibri"/>
          <w:kern w:val="0"/>
          <w:sz w:val="32"/>
          <w:szCs w:val="32"/>
          <w:lang w:eastAsia="it-IT"/>
          <w14:ligatures w14:val="none"/>
        </w:rPr>
        <w:lastRenderedPageBreak/>
        <w:t>possibile ampio e organico dove collocare le emissioni del debito pubblico in concorrenza con il mercato borsistico londinese.</w:t>
      </w:r>
    </w:p>
    <w:p w14:paraId="71612DC0" w14:textId="38F6C5FA" w:rsidR="00230801" w:rsidRDefault="00985E44" w:rsidP="003A6534">
      <w:pPr>
        <w:spacing w:after="0" w:line="240" w:lineRule="auto"/>
        <w:rPr>
          <w:rFonts w:ascii="Calibri" w:hAnsi="Calibri" w:cs="Calibri"/>
          <w:sz w:val="32"/>
          <w:szCs w:val="32"/>
          <w:shd w:val="clear" w:color="auto" w:fill="FFFFFF"/>
        </w:rPr>
      </w:pPr>
      <w:r w:rsidRPr="00302D6E">
        <w:rPr>
          <w:rFonts w:ascii="Calibri" w:hAnsi="Calibri" w:cs="Calibri"/>
          <w:sz w:val="32"/>
          <w:szCs w:val="32"/>
          <w:shd w:val="clear" w:color="auto" w:fill="FFFFFF"/>
        </w:rPr>
        <w:t>Sulla base del regolamento del 6 febbraio 1808</w:t>
      </w:r>
      <w:r w:rsidR="00E614F6" w:rsidRPr="00302D6E">
        <w:rPr>
          <w:rFonts w:ascii="Calibri" w:hAnsi="Calibri" w:cs="Calibri"/>
          <w:sz w:val="32"/>
          <w:szCs w:val="32"/>
          <w:shd w:val="clear" w:color="auto" w:fill="FFFFFF"/>
        </w:rPr>
        <w:t>,</w:t>
      </w:r>
      <w:r w:rsidRPr="00302D6E">
        <w:rPr>
          <w:rFonts w:ascii="Calibri" w:hAnsi="Calibri" w:cs="Calibri"/>
          <w:sz w:val="32"/>
          <w:szCs w:val="32"/>
          <w:shd w:val="clear" w:color="auto" w:fill="FFFFFF"/>
        </w:rPr>
        <w:t xml:space="preserve"> la Borsa di commercio di Milano </w:t>
      </w:r>
      <w:r w:rsidRPr="00F87BB3">
        <w:rPr>
          <w:rFonts w:ascii="Calibri" w:hAnsi="Calibri" w:cs="Calibri"/>
          <w:b/>
          <w:bCs/>
          <w:sz w:val="32"/>
          <w:szCs w:val="32"/>
          <w:shd w:val="clear" w:color="auto" w:fill="FFFFFF"/>
        </w:rPr>
        <w:t>iniziò le contrattazioni ufficiali lunedì 15 febbraio</w:t>
      </w:r>
      <w:r w:rsidRPr="00302D6E">
        <w:rPr>
          <w:rFonts w:ascii="Calibri" w:hAnsi="Calibri" w:cs="Calibri"/>
          <w:sz w:val="32"/>
          <w:szCs w:val="32"/>
          <w:shd w:val="clear" w:color="auto" w:fill="FFFFFF"/>
        </w:rPr>
        <w:t xml:space="preserve"> nella sede provvisoria del Monte di pietà. Quel giorno</w:t>
      </w:r>
      <w:r w:rsidR="00E614F6" w:rsidRPr="00302D6E">
        <w:rPr>
          <w:rFonts w:ascii="Calibri" w:hAnsi="Calibri" w:cs="Calibri"/>
          <w:sz w:val="32"/>
          <w:szCs w:val="32"/>
          <w:shd w:val="clear" w:color="auto" w:fill="FFFFFF"/>
        </w:rPr>
        <w:t>,</w:t>
      </w:r>
      <w:r w:rsidRPr="00302D6E">
        <w:rPr>
          <w:rFonts w:ascii="Calibri" w:hAnsi="Calibri" w:cs="Calibri"/>
          <w:sz w:val="32"/>
          <w:szCs w:val="32"/>
          <w:shd w:val="clear" w:color="auto" w:fill="FFFFFF"/>
        </w:rPr>
        <w:t xml:space="preserve"> la Camera di commercio nominò un sindaco e quattro aggiunti con il compito di presiedere le sedute e di rilevare quotidianamente i corsi: il primo sindaco della Borsa fu Carlo Ciani, di professione banchiere.</w:t>
      </w:r>
      <w:r w:rsidRPr="00302D6E">
        <w:rPr>
          <w:rFonts w:ascii="Calibri" w:hAnsi="Calibri" w:cs="Calibri"/>
          <w:sz w:val="32"/>
          <w:szCs w:val="32"/>
        </w:rPr>
        <w:br/>
      </w:r>
      <w:r w:rsidRPr="00302D6E">
        <w:rPr>
          <w:rFonts w:ascii="Calibri" w:hAnsi="Calibri" w:cs="Calibri"/>
          <w:sz w:val="32"/>
          <w:szCs w:val="32"/>
          <w:shd w:val="clear" w:color="auto" w:fill="FFFFFF"/>
        </w:rPr>
        <w:t>I locali del Monte di pietà adibiti alle riunioni di borsa si rivelarono presto inadeguati; dal novembre 1809 la Borsa venne trasferita nel Palazzo dei giureconsulti in alcune stanze al piano terreno, cedute non senza resistenze dalla Corte d'appello.</w:t>
      </w:r>
      <w:r w:rsidRPr="00302D6E">
        <w:rPr>
          <w:rFonts w:ascii="Calibri" w:hAnsi="Calibri" w:cs="Calibri"/>
          <w:sz w:val="32"/>
          <w:szCs w:val="32"/>
        </w:rPr>
        <w:br/>
      </w:r>
      <w:r w:rsidRPr="00302D6E">
        <w:rPr>
          <w:rFonts w:ascii="Calibri" w:hAnsi="Calibri" w:cs="Calibri"/>
          <w:sz w:val="32"/>
          <w:szCs w:val="32"/>
          <w:shd w:val="clear" w:color="auto" w:fill="FFFFFF"/>
        </w:rPr>
        <w:t>Un compiuto regolamento per le Borse di commercio venne pubblicato con decreto vicereale nel marzo del 1810, anche se molte delle disposizioni contenute rimasero a lungo lettera morta, quali la redazione di un albo dei mediatori autorizzati e l'elezione diretta del sindaco e degli aggiunti da parte dell'assemblea degli operatori.</w:t>
      </w:r>
      <w:r w:rsidRPr="00302D6E">
        <w:rPr>
          <w:rFonts w:ascii="Calibri" w:hAnsi="Calibri" w:cs="Calibri"/>
          <w:sz w:val="32"/>
          <w:szCs w:val="32"/>
        </w:rPr>
        <w:br/>
      </w:r>
      <w:r w:rsidRPr="00302D6E">
        <w:rPr>
          <w:rFonts w:ascii="Calibri" w:hAnsi="Calibri" w:cs="Calibri"/>
          <w:sz w:val="32"/>
          <w:szCs w:val="32"/>
          <w:shd w:val="clear" w:color="auto" w:fill="FFFFFF"/>
        </w:rPr>
        <w:t>Nel giugno del 1813 vennero stabiliti il numero dei mediatori e i diritti loro spettanti per ciascuna operazione: resta il dubbio se tali norme trovarono applicazione nel breve periodo che precedette la restaurazione del governo austriaco.</w:t>
      </w:r>
    </w:p>
    <w:p w14:paraId="5D46AC17" w14:textId="77777777" w:rsidR="00FB2A9B" w:rsidRDefault="00FB2A9B" w:rsidP="003A6534">
      <w:pPr>
        <w:spacing w:after="0" w:line="240" w:lineRule="auto"/>
        <w:rPr>
          <w:rFonts w:ascii="Calibri" w:hAnsi="Calibri" w:cs="Calibri"/>
          <w:sz w:val="32"/>
          <w:szCs w:val="32"/>
          <w:shd w:val="clear" w:color="auto" w:fill="FFFFFF"/>
        </w:rPr>
      </w:pPr>
    </w:p>
    <w:p w14:paraId="401BB177" w14:textId="3EF3A183" w:rsidR="00FB2A9B" w:rsidRPr="006361DD" w:rsidRDefault="00FB2A9B" w:rsidP="003A6534">
      <w:pPr>
        <w:spacing w:after="0" w:line="240" w:lineRule="auto"/>
        <w:rPr>
          <w:rFonts w:ascii="Calibri" w:hAnsi="Calibri" w:cs="Calibri"/>
          <w:shd w:val="clear" w:color="auto" w:fill="FFFFFF"/>
        </w:rPr>
      </w:pPr>
      <w:r>
        <w:rPr>
          <w:noProof/>
        </w:rPr>
        <w:drawing>
          <wp:inline distT="0" distB="0" distL="0" distR="0" wp14:anchorId="15A24A87" wp14:editId="0108DFD9">
            <wp:extent cx="3002164" cy="1996440"/>
            <wp:effectExtent l="0" t="0" r="0" b="0"/>
            <wp:docPr id="1835020154" name="Immagine 3" descr="Borsa di Milano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orsa di Milano - Wikipedi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72013" cy="2042890"/>
                    </a:xfrm>
                    <a:prstGeom prst="rect">
                      <a:avLst/>
                    </a:prstGeom>
                    <a:noFill/>
                    <a:ln>
                      <a:noFill/>
                    </a:ln>
                  </pic:spPr>
                </pic:pic>
              </a:graphicData>
            </a:graphic>
          </wp:inline>
        </w:drawing>
      </w:r>
      <w:r w:rsidR="006361DD">
        <w:rPr>
          <w:rFonts w:ascii="Calibri" w:hAnsi="Calibri" w:cs="Calibri"/>
          <w:shd w:val="clear" w:color="auto" w:fill="FFFFFF"/>
        </w:rPr>
        <w:t>Foto della sede della Borsa di Milano</w:t>
      </w:r>
    </w:p>
    <w:p w14:paraId="1A170873" w14:textId="77777777" w:rsidR="00FB2A9B" w:rsidRDefault="00FB2A9B" w:rsidP="003A6534">
      <w:pPr>
        <w:spacing w:after="0" w:line="240" w:lineRule="auto"/>
        <w:rPr>
          <w:rFonts w:ascii="Calibri" w:hAnsi="Calibri" w:cs="Calibri"/>
          <w:sz w:val="32"/>
          <w:szCs w:val="32"/>
          <w:shd w:val="clear" w:color="auto" w:fill="FFFFFF"/>
        </w:rPr>
      </w:pPr>
    </w:p>
    <w:p w14:paraId="5DD4E012" w14:textId="77777777" w:rsidR="006361DD" w:rsidRDefault="006361DD" w:rsidP="003A6534">
      <w:pPr>
        <w:spacing w:after="0" w:line="240" w:lineRule="auto"/>
        <w:rPr>
          <w:rFonts w:ascii="Calibri" w:hAnsi="Calibri" w:cs="Calibri"/>
          <w:sz w:val="32"/>
          <w:szCs w:val="32"/>
          <w:shd w:val="clear" w:color="auto" w:fill="FFFFFF"/>
        </w:rPr>
      </w:pPr>
    </w:p>
    <w:p w14:paraId="353249B8" w14:textId="77777777" w:rsidR="006361DD" w:rsidRDefault="006361DD" w:rsidP="003A6534">
      <w:pPr>
        <w:spacing w:after="0" w:line="240" w:lineRule="auto"/>
        <w:rPr>
          <w:rFonts w:ascii="Calibri" w:hAnsi="Calibri" w:cs="Calibri"/>
          <w:sz w:val="32"/>
          <w:szCs w:val="32"/>
          <w:shd w:val="clear" w:color="auto" w:fill="FFFFFF"/>
        </w:rPr>
      </w:pPr>
    </w:p>
    <w:p w14:paraId="546C962D" w14:textId="77777777" w:rsidR="006361DD" w:rsidRDefault="006361DD" w:rsidP="003A6534">
      <w:pPr>
        <w:spacing w:after="0" w:line="240" w:lineRule="auto"/>
        <w:rPr>
          <w:rFonts w:ascii="Calibri" w:hAnsi="Calibri" w:cs="Calibri"/>
          <w:sz w:val="32"/>
          <w:szCs w:val="32"/>
          <w:shd w:val="clear" w:color="auto" w:fill="FFFFFF"/>
        </w:rPr>
      </w:pPr>
    </w:p>
    <w:p w14:paraId="394EAF43" w14:textId="77777777" w:rsidR="006361DD" w:rsidRDefault="006361DD" w:rsidP="003A6534">
      <w:pPr>
        <w:spacing w:after="0" w:line="240" w:lineRule="auto"/>
        <w:rPr>
          <w:rFonts w:ascii="Calibri" w:hAnsi="Calibri" w:cs="Calibri"/>
          <w:sz w:val="32"/>
          <w:szCs w:val="32"/>
          <w:shd w:val="clear" w:color="auto" w:fill="FFFFFF"/>
        </w:rPr>
      </w:pPr>
    </w:p>
    <w:p w14:paraId="00286686" w14:textId="77777777" w:rsidR="006361DD" w:rsidRPr="00302D6E" w:rsidRDefault="006361DD" w:rsidP="003A6534">
      <w:pPr>
        <w:spacing w:after="0" w:line="240" w:lineRule="auto"/>
        <w:rPr>
          <w:rFonts w:ascii="Calibri" w:hAnsi="Calibri" w:cs="Calibri"/>
          <w:sz w:val="32"/>
          <w:szCs w:val="32"/>
          <w:shd w:val="clear" w:color="auto" w:fill="FFFFFF"/>
        </w:rPr>
      </w:pPr>
    </w:p>
    <w:p w14:paraId="7F148E6E" w14:textId="77777777" w:rsidR="00B50326" w:rsidRDefault="00B50326" w:rsidP="003A6534">
      <w:pPr>
        <w:spacing w:after="0" w:line="240" w:lineRule="auto"/>
        <w:rPr>
          <w:rFonts w:ascii="Calibri Light" w:eastAsia="Times New Roman" w:hAnsi="Calibri Light" w:cs="Calibri Light"/>
          <w:b/>
          <w:bCs/>
          <w:color w:val="FF0000"/>
          <w:sz w:val="48"/>
          <w:szCs w:val="48"/>
        </w:rPr>
      </w:pPr>
      <w:r w:rsidRPr="00F107AE">
        <w:rPr>
          <w:rFonts w:ascii="Calibri Light" w:eastAsia="Times New Roman" w:hAnsi="Calibri Light" w:cs="Calibri Light"/>
          <w:b/>
          <w:bCs/>
          <w:color w:val="FF0000"/>
          <w:sz w:val="48"/>
          <w:szCs w:val="48"/>
        </w:rPr>
        <w:lastRenderedPageBreak/>
        <w:t>I principali indici di borsa e prodotti finanziari</w:t>
      </w:r>
    </w:p>
    <w:p w14:paraId="166B54AE" w14:textId="77777777" w:rsidR="003A6534" w:rsidRPr="003A6534" w:rsidRDefault="003A6534" w:rsidP="003A6534">
      <w:pPr>
        <w:spacing w:after="0" w:line="240" w:lineRule="auto"/>
        <w:rPr>
          <w:rFonts w:ascii="Calibri Light" w:eastAsia="Times New Roman" w:hAnsi="Calibri Light" w:cs="Calibri Light"/>
          <w:color w:val="FF0000"/>
          <w:sz w:val="32"/>
          <w:szCs w:val="32"/>
        </w:rPr>
      </w:pPr>
    </w:p>
    <w:p w14:paraId="52A8FB89" w14:textId="3E47B342" w:rsidR="00B50326" w:rsidRPr="00302D6E" w:rsidRDefault="00B50326" w:rsidP="003A6534">
      <w:pPr>
        <w:shd w:val="clear" w:color="auto" w:fill="FFFFFF" w:themeFill="background1"/>
        <w:spacing w:after="0" w:line="240" w:lineRule="auto"/>
        <w:rPr>
          <w:rFonts w:ascii="Calibri" w:eastAsia="Roboto" w:hAnsi="Calibri" w:cs="Calibri"/>
          <w:color w:val="111111"/>
          <w:sz w:val="32"/>
          <w:szCs w:val="32"/>
        </w:rPr>
      </w:pPr>
      <w:r w:rsidRPr="00302D6E">
        <w:rPr>
          <w:rFonts w:ascii="Calibri" w:eastAsia="Roboto" w:hAnsi="Calibri" w:cs="Calibri"/>
          <w:color w:val="111111"/>
          <w:sz w:val="32"/>
          <w:szCs w:val="32"/>
        </w:rPr>
        <w:t>Un indice azionario, detto anche indice di borsa o indice borsistico, è</w:t>
      </w:r>
      <w:r w:rsidRPr="00302D6E">
        <w:rPr>
          <w:rFonts w:ascii="Calibri" w:eastAsia="Roboto" w:hAnsi="Calibri" w:cs="Calibri"/>
          <w:b/>
          <w:bCs/>
          <w:color w:val="111111"/>
          <w:sz w:val="32"/>
          <w:szCs w:val="32"/>
        </w:rPr>
        <w:t xml:space="preserve"> la sintesi del valore del paniere dei titoli azionari che </w:t>
      </w:r>
      <w:r w:rsidR="00656159">
        <w:rPr>
          <w:rFonts w:ascii="Calibri" w:eastAsia="Roboto" w:hAnsi="Calibri" w:cs="Calibri"/>
          <w:b/>
          <w:bCs/>
          <w:color w:val="111111"/>
          <w:sz w:val="32"/>
          <w:szCs w:val="32"/>
        </w:rPr>
        <w:t>lo</w:t>
      </w:r>
      <w:r w:rsidRPr="00302D6E">
        <w:rPr>
          <w:rFonts w:ascii="Calibri" w:eastAsia="Roboto" w:hAnsi="Calibri" w:cs="Calibri"/>
          <w:b/>
          <w:bCs/>
          <w:color w:val="111111"/>
          <w:sz w:val="32"/>
          <w:szCs w:val="32"/>
        </w:rPr>
        <w:t xml:space="preserve"> rappresentano.</w:t>
      </w:r>
      <w:r w:rsidRPr="00302D6E">
        <w:rPr>
          <w:rFonts w:ascii="Calibri" w:eastAsia="Roboto" w:hAnsi="Calibri" w:cs="Calibri"/>
          <w:color w:val="111111"/>
          <w:sz w:val="32"/>
          <w:szCs w:val="32"/>
        </w:rPr>
        <w:t xml:space="preserve"> </w:t>
      </w:r>
      <w:r w:rsidRPr="00302D6E">
        <w:rPr>
          <w:rFonts w:ascii="Calibri" w:eastAsiaTheme="minorEastAsia" w:hAnsi="Calibri" w:cs="Calibri"/>
          <w:color w:val="111111"/>
          <w:sz w:val="32"/>
          <w:szCs w:val="32"/>
        </w:rPr>
        <w:t xml:space="preserve">In parole semplici, un indice di borsa raggruppa un paniere di titoli azionari che hanno in comune una o più caratteristiche e ne monitora l’andamento. </w:t>
      </w:r>
    </w:p>
    <w:p w14:paraId="37C68E10" w14:textId="77777777" w:rsidR="00B50326" w:rsidRPr="00302D6E" w:rsidRDefault="00B50326" w:rsidP="003A6534">
      <w:pPr>
        <w:shd w:val="clear" w:color="auto" w:fill="FFFFFF" w:themeFill="background1"/>
        <w:spacing w:after="0" w:line="240" w:lineRule="auto"/>
        <w:rPr>
          <w:rFonts w:ascii="Calibri" w:eastAsiaTheme="minorEastAsia" w:hAnsi="Calibri" w:cs="Calibri"/>
          <w:b/>
          <w:bCs/>
          <w:color w:val="111111"/>
          <w:sz w:val="32"/>
          <w:szCs w:val="32"/>
        </w:rPr>
      </w:pPr>
      <w:r w:rsidRPr="00302D6E">
        <w:rPr>
          <w:rFonts w:ascii="Calibri" w:eastAsiaTheme="minorEastAsia" w:hAnsi="Calibri" w:cs="Calibri"/>
          <w:color w:val="111111"/>
          <w:sz w:val="32"/>
          <w:szCs w:val="32"/>
        </w:rPr>
        <w:t xml:space="preserve">Possiamo dedurre che, grazie agli indici di borsa, è possibile rendersi conto a colpo d’occhio dell’andamento di un determinato </w:t>
      </w:r>
      <w:r w:rsidRPr="00302D6E">
        <w:rPr>
          <w:rFonts w:ascii="Calibri" w:eastAsiaTheme="minorEastAsia" w:hAnsi="Calibri" w:cs="Calibri"/>
          <w:b/>
          <w:bCs/>
          <w:color w:val="111111"/>
          <w:sz w:val="32"/>
          <w:szCs w:val="32"/>
        </w:rPr>
        <w:t>mercato geografico e/o di uno specifico settore.</w:t>
      </w:r>
    </w:p>
    <w:p w14:paraId="5744C6BD" w14:textId="77777777" w:rsidR="00B50326" w:rsidRPr="00302D6E" w:rsidRDefault="00B50326" w:rsidP="003A6534">
      <w:p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color w:val="111111"/>
          <w:sz w:val="32"/>
          <w:szCs w:val="32"/>
        </w:rPr>
        <w:t>Inoltre, gli indici di borsa sono strumenti importanti da conoscere nel mondo della finanza. Essi uniscono diversi asset, principalmente azioni, in un singolo indice riassuntivo. Il valore dell’indice riflette l’andamento complessivo di tutti gli asset che ne fanno parte.</w:t>
      </w:r>
    </w:p>
    <w:p w14:paraId="04893314" w14:textId="77777777" w:rsidR="00B50326" w:rsidRPr="00302D6E" w:rsidRDefault="00B50326" w:rsidP="003A6534">
      <w:p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color w:val="111111"/>
          <w:sz w:val="32"/>
          <w:szCs w:val="32"/>
        </w:rPr>
        <w:t xml:space="preserve">Alcuni dei </w:t>
      </w:r>
      <w:r w:rsidRPr="00302D6E">
        <w:rPr>
          <w:rFonts w:ascii="Calibri" w:eastAsiaTheme="minorEastAsia" w:hAnsi="Calibri" w:cs="Calibri"/>
          <w:color w:val="111111"/>
          <w:sz w:val="32"/>
          <w:szCs w:val="32"/>
          <w:u w:val="single"/>
        </w:rPr>
        <w:t>principali indici</w:t>
      </w:r>
      <w:r w:rsidRPr="00302D6E">
        <w:rPr>
          <w:rFonts w:ascii="Calibri" w:eastAsiaTheme="minorEastAsia" w:hAnsi="Calibri" w:cs="Calibri"/>
          <w:color w:val="111111"/>
          <w:sz w:val="32"/>
          <w:szCs w:val="32"/>
        </w:rPr>
        <w:t xml:space="preserve"> di Borsa </w:t>
      </w:r>
      <w:r w:rsidRPr="00302D6E">
        <w:rPr>
          <w:rFonts w:ascii="Calibri" w:eastAsiaTheme="minorEastAsia" w:hAnsi="Calibri" w:cs="Calibri"/>
          <w:color w:val="111111"/>
          <w:sz w:val="32"/>
          <w:szCs w:val="32"/>
          <w:u w:val="single"/>
        </w:rPr>
        <w:t>italiani e mondiali</w:t>
      </w:r>
      <w:r w:rsidRPr="00302D6E">
        <w:rPr>
          <w:rFonts w:ascii="Calibri" w:eastAsiaTheme="minorEastAsia" w:hAnsi="Calibri" w:cs="Calibri"/>
          <w:color w:val="111111"/>
          <w:sz w:val="32"/>
          <w:szCs w:val="32"/>
        </w:rPr>
        <w:t xml:space="preserve"> sono:</w:t>
      </w:r>
    </w:p>
    <w:p w14:paraId="1E7947C1" w14:textId="37A651B1" w:rsidR="00B50326" w:rsidRPr="00302D6E"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sz w:val="32"/>
          <w:szCs w:val="32"/>
        </w:rPr>
        <w:t xml:space="preserve">FTSE MIB </w:t>
      </w:r>
      <w:r w:rsidRPr="00302D6E">
        <w:rPr>
          <w:rFonts w:ascii="Calibri" w:eastAsiaTheme="minorEastAsia" w:hAnsi="Calibri" w:cs="Calibri"/>
          <w:color w:val="111111"/>
          <w:sz w:val="32"/>
          <w:szCs w:val="32"/>
        </w:rPr>
        <w:t>– questo indice rappresenta le 40 aziende italiane più grandi quotate in Borsa</w:t>
      </w:r>
      <w:r w:rsidR="00656159">
        <w:rPr>
          <w:rFonts w:ascii="Calibri" w:eastAsiaTheme="minorEastAsia" w:hAnsi="Calibri" w:cs="Calibri"/>
          <w:color w:val="111111"/>
          <w:sz w:val="32"/>
          <w:szCs w:val="32"/>
        </w:rPr>
        <w:t>;</w:t>
      </w:r>
    </w:p>
    <w:p w14:paraId="2DC28783" w14:textId="0298B4CB" w:rsidR="00B50326" w:rsidRPr="00302D6E"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 xml:space="preserve">DAX </w:t>
      </w:r>
      <w:r w:rsidRPr="00302D6E">
        <w:rPr>
          <w:rFonts w:ascii="Calibri" w:eastAsiaTheme="minorEastAsia" w:hAnsi="Calibri" w:cs="Calibri"/>
          <w:color w:val="111111"/>
          <w:sz w:val="32"/>
          <w:szCs w:val="32"/>
        </w:rPr>
        <w:t>– questo indice è composto dalle 30 aziende più grandi quotate sulla Borsa tedesca</w:t>
      </w:r>
      <w:r w:rsidR="00656159">
        <w:rPr>
          <w:rFonts w:ascii="Calibri" w:eastAsiaTheme="minorEastAsia" w:hAnsi="Calibri" w:cs="Calibri"/>
          <w:color w:val="111111"/>
          <w:sz w:val="32"/>
          <w:szCs w:val="32"/>
        </w:rPr>
        <w:t>;</w:t>
      </w:r>
    </w:p>
    <w:p w14:paraId="1AD5829C" w14:textId="375C79C8" w:rsidR="00B50326" w:rsidRPr="00302D6E"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CAC 40</w:t>
      </w:r>
      <w:r w:rsidRPr="00302D6E">
        <w:rPr>
          <w:rFonts w:ascii="Calibri" w:eastAsiaTheme="minorEastAsia" w:hAnsi="Calibri" w:cs="Calibri"/>
          <w:color w:val="111111"/>
          <w:sz w:val="32"/>
          <w:szCs w:val="32"/>
        </w:rPr>
        <w:t xml:space="preserve"> – questo indice contiene le 40 aziende più grandi quotate in Francia</w:t>
      </w:r>
      <w:r w:rsidR="00656159">
        <w:rPr>
          <w:rFonts w:ascii="Calibri" w:eastAsiaTheme="minorEastAsia" w:hAnsi="Calibri" w:cs="Calibri"/>
          <w:color w:val="111111"/>
          <w:sz w:val="32"/>
          <w:szCs w:val="32"/>
        </w:rPr>
        <w:t>;</w:t>
      </w:r>
    </w:p>
    <w:p w14:paraId="0C00623B" w14:textId="71B8C3AC" w:rsidR="00B50326" w:rsidRPr="00302D6E"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Dow Jones Industrial Average (DJI)</w:t>
      </w:r>
      <w:r w:rsidRPr="00302D6E">
        <w:rPr>
          <w:rFonts w:ascii="Calibri" w:eastAsiaTheme="minorEastAsia" w:hAnsi="Calibri" w:cs="Calibri"/>
          <w:color w:val="111111"/>
          <w:sz w:val="32"/>
          <w:szCs w:val="32"/>
        </w:rPr>
        <w:t xml:space="preserve"> -- questo indice rappresenta 30 grandi aziende statunitensi</w:t>
      </w:r>
      <w:r w:rsidR="00656159">
        <w:rPr>
          <w:rFonts w:ascii="Calibri" w:eastAsiaTheme="minorEastAsia" w:hAnsi="Calibri" w:cs="Calibri"/>
          <w:color w:val="111111"/>
          <w:sz w:val="32"/>
          <w:szCs w:val="32"/>
        </w:rPr>
        <w:t>;</w:t>
      </w:r>
      <w:r w:rsidRPr="00302D6E">
        <w:rPr>
          <w:rFonts w:ascii="Calibri" w:eastAsiaTheme="minorEastAsia" w:hAnsi="Calibri" w:cs="Calibri"/>
          <w:color w:val="111111"/>
          <w:sz w:val="32"/>
          <w:szCs w:val="32"/>
        </w:rPr>
        <w:t xml:space="preserve"> </w:t>
      </w:r>
    </w:p>
    <w:p w14:paraId="05C536D2" w14:textId="5837A268" w:rsidR="00B50326" w:rsidRPr="00302D6E"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S&amp;P500</w:t>
      </w:r>
      <w:r w:rsidRPr="00302D6E">
        <w:rPr>
          <w:rFonts w:ascii="Calibri" w:eastAsiaTheme="minorEastAsia" w:hAnsi="Calibri" w:cs="Calibri"/>
          <w:color w:val="111111"/>
          <w:sz w:val="32"/>
          <w:szCs w:val="32"/>
        </w:rPr>
        <w:t xml:space="preserve"> -- è un indice ponderato per la capitalizzazione di mercato delle 500 principali aziende quotate negli Stati Uniti</w:t>
      </w:r>
      <w:r w:rsidR="00656159">
        <w:rPr>
          <w:rFonts w:ascii="Calibri" w:eastAsiaTheme="minorEastAsia" w:hAnsi="Calibri" w:cs="Calibri"/>
          <w:color w:val="111111"/>
          <w:sz w:val="32"/>
          <w:szCs w:val="32"/>
        </w:rPr>
        <w:t>;</w:t>
      </w:r>
    </w:p>
    <w:p w14:paraId="79D4D167" w14:textId="695E529C" w:rsidR="00B50326" w:rsidRPr="00302D6E"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Nasdaq Composite (IXIC)</w:t>
      </w:r>
      <w:r w:rsidRPr="00302D6E">
        <w:rPr>
          <w:rFonts w:ascii="Calibri" w:eastAsiaTheme="minorEastAsia" w:hAnsi="Calibri" w:cs="Calibri"/>
          <w:color w:val="111111"/>
          <w:sz w:val="32"/>
          <w:szCs w:val="32"/>
        </w:rPr>
        <w:t xml:space="preserve"> -- questo indice comprende molte aziende tecnologiche e di settore</w:t>
      </w:r>
      <w:r w:rsidR="00656159">
        <w:rPr>
          <w:rFonts w:ascii="Calibri" w:eastAsiaTheme="minorEastAsia" w:hAnsi="Calibri" w:cs="Calibri"/>
          <w:color w:val="111111"/>
          <w:sz w:val="32"/>
          <w:szCs w:val="32"/>
        </w:rPr>
        <w:t>;</w:t>
      </w:r>
    </w:p>
    <w:p w14:paraId="747268AE" w14:textId="62941AEA" w:rsidR="00B50326" w:rsidRPr="00302D6E"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Nikkei 225</w:t>
      </w:r>
      <w:r w:rsidRPr="00302D6E">
        <w:rPr>
          <w:rFonts w:ascii="Calibri" w:eastAsiaTheme="minorEastAsia" w:hAnsi="Calibri" w:cs="Calibri"/>
          <w:color w:val="111111"/>
          <w:sz w:val="32"/>
          <w:szCs w:val="32"/>
        </w:rPr>
        <w:t xml:space="preserve"> – questo indice rappresenta le 225 principali aziende quotate in Giappone</w:t>
      </w:r>
      <w:r w:rsidR="00656159">
        <w:rPr>
          <w:rFonts w:ascii="Calibri" w:eastAsiaTheme="minorEastAsia" w:hAnsi="Calibri" w:cs="Calibri"/>
          <w:color w:val="111111"/>
          <w:sz w:val="32"/>
          <w:szCs w:val="32"/>
        </w:rPr>
        <w:t>;</w:t>
      </w:r>
    </w:p>
    <w:p w14:paraId="6426DC9C" w14:textId="66D96097" w:rsidR="00B50326" w:rsidRPr="00302D6E"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Hang Seng</w:t>
      </w:r>
      <w:r w:rsidRPr="00302D6E">
        <w:rPr>
          <w:rFonts w:ascii="Calibri" w:eastAsiaTheme="minorEastAsia" w:hAnsi="Calibri" w:cs="Calibri"/>
          <w:color w:val="111111"/>
          <w:sz w:val="32"/>
          <w:szCs w:val="32"/>
        </w:rPr>
        <w:t xml:space="preserve"> – questo indice è composto dalle principali aziende quotate a Hong Kong</w:t>
      </w:r>
      <w:r w:rsidR="00656159">
        <w:rPr>
          <w:rFonts w:ascii="Calibri" w:eastAsiaTheme="minorEastAsia" w:hAnsi="Calibri" w:cs="Calibri"/>
          <w:color w:val="111111"/>
          <w:sz w:val="32"/>
          <w:szCs w:val="32"/>
        </w:rPr>
        <w:t>;</w:t>
      </w:r>
    </w:p>
    <w:p w14:paraId="41EA4130" w14:textId="3C5B7C0A" w:rsidR="00B50326" w:rsidRPr="00302D6E"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FTSE 100</w:t>
      </w:r>
      <w:r w:rsidRPr="00302D6E">
        <w:rPr>
          <w:rFonts w:ascii="Calibri" w:eastAsiaTheme="minorEastAsia" w:hAnsi="Calibri" w:cs="Calibri"/>
          <w:color w:val="111111"/>
          <w:sz w:val="32"/>
          <w:szCs w:val="32"/>
        </w:rPr>
        <w:t xml:space="preserve"> – questo indice rappresenta le 100 principali aziende quotate a Londra</w:t>
      </w:r>
      <w:r w:rsidR="00656159">
        <w:rPr>
          <w:rFonts w:ascii="Calibri" w:eastAsiaTheme="minorEastAsia" w:hAnsi="Calibri" w:cs="Calibri"/>
          <w:color w:val="111111"/>
          <w:sz w:val="32"/>
          <w:szCs w:val="32"/>
        </w:rPr>
        <w:t>;</w:t>
      </w:r>
    </w:p>
    <w:p w14:paraId="52D39339" w14:textId="1CB256CA" w:rsidR="00B50326" w:rsidRPr="00302D6E"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Euro Stoxx 50</w:t>
      </w:r>
      <w:r w:rsidRPr="00302D6E">
        <w:rPr>
          <w:rFonts w:ascii="Calibri" w:eastAsiaTheme="minorEastAsia" w:hAnsi="Calibri" w:cs="Calibri"/>
          <w:color w:val="111111"/>
          <w:sz w:val="32"/>
          <w:szCs w:val="32"/>
        </w:rPr>
        <w:t xml:space="preserve"> – questo è un indice delle 50 principali aziende quotate in Europa</w:t>
      </w:r>
      <w:r w:rsidR="00656159">
        <w:rPr>
          <w:rFonts w:ascii="Calibri" w:eastAsiaTheme="minorEastAsia" w:hAnsi="Calibri" w:cs="Calibri"/>
          <w:color w:val="111111"/>
          <w:sz w:val="32"/>
          <w:szCs w:val="32"/>
        </w:rPr>
        <w:t>;</w:t>
      </w:r>
    </w:p>
    <w:p w14:paraId="19C3C1CF" w14:textId="00B83DFB" w:rsidR="00B50326" w:rsidRPr="00302D6E"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lastRenderedPageBreak/>
        <w:t>FTSE Italia All-Share</w:t>
      </w:r>
      <w:r w:rsidRPr="00302D6E">
        <w:rPr>
          <w:rFonts w:ascii="Calibri" w:eastAsiaTheme="minorEastAsia" w:hAnsi="Calibri" w:cs="Calibri"/>
          <w:color w:val="111111"/>
          <w:sz w:val="32"/>
          <w:szCs w:val="32"/>
        </w:rPr>
        <w:t xml:space="preserve"> – questo indice copre tutte le società quotate in Italia, suddivise per settore</w:t>
      </w:r>
      <w:r w:rsidR="00656159">
        <w:rPr>
          <w:rFonts w:ascii="Calibri" w:eastAsiaTheme="minorEastAsia" w:hAnsi="Calibri" w:cs="Calibri"/>
          <w:color w:val="111111"/>
          <w:sz w:val="32"/>
          <w:szCs w:val="32"/>
        </w:rPr>
        <w:t>;</w:t>
      </w:r>
    </w:p>
    <w:p w14:paraId="05EEDC59" w14:textId="372E7B4F" w:rsidR="00B50326" w:rsidRPr="00302D6E"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FTSE Italia Mid-Cap</w:t>
      </w:r>
      <w:r w:rsidRPr="00302D6E">
        <w:rPr>
          <w:rFonts w:ascii="Calibri" w:eastAsiaTheme="minorEastAsia" w:hAnsi="Calibri" w:cs="Calibri"/>
          <w:color w:val="111111"/>
          <w:sz w:val="32"/>
          <w:szCs w:val="32"/>
        </w:rPr>
        <w:t xml:space="preserve"> – questo indice include le società di medie dimensioni quotate in Italia</w:t>
      </w:r>
      <w:r w:rsidR="00656159">
        <w:rPr>
          <w:rFonts w:ascii="Calibri" w:eastAsiaTheme="minorEastAsia" w:hAnsi="Calibri" w:cs="Calibri"/>
          <w:color w:val="111111"/>
          <w:sz w:val="32"/>
          <w:szCs w:val="32"/>
        </w:rPr>
        <w:t>;</w:t>
      </w:r>
    </w:p>
    <w:p w14:paraId="3787F403" w14:textId="35B35493" w:rsidR="00B50326" w:rsidRDefault="00B50326" w:rsidP="003A6534">
      <w:pPr>
        <w:pStyle w:val="Paragrafoelenco"/>
        <w:numPr>
          <w:ilvl w:val="0"/>
          <w:numId w:val="1"/>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FTSE Italia Small-Cap</w:t>
      </w:r>
      <w:r w:rsidRPr="00302D6E">
        <w:rPr>
          <w:rFonts w:ascii="Calibri" w:eastAsiaTheme="minorEastAsia" w:hAnsi="Calibri" w:cs="Calibri"/>
          <w:color w:val="111111"/>
          <w:sz w:val="32"/>
          <w:szCs w:val="32"/>
        </w:rPr>
        <w:t xml:space="preserve"> – qui troviamo le piccole imprese quotate alla Borsa Italiana</w:t>
      </w:r>
      <w:r w:rsidR="00656159">
        <w:rPr>
          <w:rFonts w:ascii="Calibri" w:eastAsiaTheme="minorEastAsia" w:hAnsi="Calibri" w:cs="Calibri"/>
          <w:color w:val="111111"/>
          <w:sz w:val="32"/>
          <w:szCs w:val="32"/>
        </w:rPr>
        <w:t>.</w:t>
      </w:r>
    </w:p>
    <w:p w14:paraId="60FDAABC" w14:textId="77777777" w:rsidR="00E93A90" w:rsidRPr="00E93A90" w:rsidRDefault="00E93A90" w:rsidP="00E93A90">
      <w:pPr>
        <w:shd w:val="clear" w:color="auto" w:fill="FFFFFF" w:themeFill="background1"/>
        <w:spacing w:after="0" w:line="240" w:lineRule="auto"/>
        <w:rPr>
          <w:rFonts w:ascii="Calibri" w:eastAsiaTheme="minorEastAsia" w:hAnsi="Calibri" w:cs="Calibri"/>
          <w:color w:val="111111"/>
          <w:sz w:val="32"/>
          <w:szCs w:val="32"/>
        </w:rPr>
      </w:pPr>
    </w:p>
    <w:p w14:paraId="22177B48" w14:textId="79BF827D" w:rsidR="006361DD" w:rsidRPr="00E93A90" w:rsidRDefault="00E93A90" w:rsidP="006361DD">
      <w:pPr>
        <w:shd w:val="clear" w:color="auto" w:fill="FFFFFF" w:themeFill="background1"/>
        <w:spacing w:after="0" w:line="240" w:lineRule="auto"/>
        <w:rPr>
          <w:rFonts w:ascii="Calibri" w:eastAsiaTheme="minorEastAsia" w:hAnsi="Calibri" w:cs="Calibri"/>
          <w:color w:val="111111"/>
        </w:rPr>
      </w:pPr>
      <w:r>
        <w:rPr>
          <w:noProof/>
        </w:rPr>
        <w:drawing>
          <wp:inline distT="0" distB="0" distL="0" distR="0" wp14:anchorId="526B19A4" wp14:editId="62773F34">
            <wp:extent cx="3512820" cy="1505650"/>
            <wp:effectExtent l="0" t="0" r="0" b="0"/>
            <wp:docPr id="2018995976" name="Immagine 7" descr="Cosa sono gli indici di borsa e come sono composti | Mirko Tessa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osa sono gli indici di borsa e come sono composti | Mirko Tessari"/>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35135" cy="1515214"/>
                    </a:xfrm>
                    <a:prstGeom prst="rect">
                      <a:avLst/>
                    </a:prstGeom>
                    <a:noFill/>
                    <a:ln>
                      <a:noFill/>
                    </a:ln>
                  </pic:spPr>
                </pic:pic>
              </a:graphicData>
            </a:graphic>
          </wp:inline>
        </w:drawing>
      </w:r>
      <w:r>
        <w:rPr>
          <w:rFonts w:ascii="Calibri" w:eastAsiaTheme="minorEastAsia" w:hAnsi="Calibri" w:cs="Calibri"/>
          <w:color w:val="111111"/>
        </w:rPr>
        <w:t>Esempio di indici di Borsa</w:t>
      </w:r>
    </w:p>
    <w:p w14:paraId="75A8DAF9" w14:textId="77777777" w:rsidR="00B50326" w:rsidRPr="00302D6E" w:rsidRDefault="00B50326" w:rsidP="003A6534">
      <w:pPr>
        <w:shd w:val="clear" w:color="auto" w:fill="FFFFFF" w:themeFill="background1"/>
        <w:spacing w:after="0" w:line="240" w:lineRule="auto"/>
        <w:rPr>
          <w:rFonts w:ascii="Calibri" w:eastAsiaTheme="minorEastAsia" w:hAnsi="Calibri" w:cs="Calibri"/>
          <w:color w:val="111111"/>
          <w:sz w:val="32"/>
          <w:szCs w:val="32"/>
        </w:rPr>
      </w:pPr>
    </w:p>
    <w:p w14:paraId="69E57206" w14:textId="77777777" w:rsidR="00B50326" w:rsidRPr="00302D6E" w:rsidRDefault="00B50326" w:rsidP="003A6534">
      <w:p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color w:val="111111"/>
          <w:sz w:val="32"/>
          <w:szCs w:val="32"/>
        </w:rPr>
        <w:t xml:space="preserve">Un </w:t>
      </w:r>
      <w:r w:rsidRPr="00302D6E">
        <w:rPr>
          <w:rFonts w:ascii="Calibri" w:eastAsiaTheme="minorEastAsia" w:hAnsi="Calibri" w:cs="Calibri"/>
          <w:b/>
          <w:bCs/>
          <w:color w:val="111111"/>
          <w:sz w:val="32"/>
          <w:szCs w:val="32"/>
        </w:rPr>
        <w:t>prodotto finanziario</w:t>
      </w:r>
      <w:r w:rsidRPr="00302D6E">
        <w:rPr>
          <w:rFonts w:ascii="Calibri" w:eastAsiaTheme="minorEastAsia" w:hAnsi="Calibri" w:cs="Calibri"/>
          <w:color w:val="111111"/>
          <w:sz w:val="32"/>
          <w:szCs w:val="32"/>
        </w:rPr>
        <w:t xml:space="preserve">, secondo il </w:t>
      </w:r>
      <w:r w:rsidRPr="00302D6E">
        <w:rPr>
          <w:rFonts w:ascii="Calibri" w:eastAsiaTheme="minorEastAsia" w:hAnsi="Calibri" w:cs="Calibri"/>
          <w:b/>
          <w:bCs/>
          <w:color w:val="111111"/>
          <w:sz w:val="32"/>
          <w:szCs w:val="32"/>
        </w:rPr>
        <w:t>Testo Unico della Finanza</w:t>
      </w:r>
      <w:r w:rsidRPr="00302D6E">
        <w:rPr>
          <w:rFonts w:ascii="Calibri" w:eastAsiaTheme="minorEastAsia" w:hAnsi="Calibri" w:cs="Calibri"/>
          <w:color w:val="111111"/>
          <w:sz w:val="32"/>
          <w:szCs w:val="32"/>
        </w:rPr>
        <w:t>, è definito come l’insieme degli strumenti finanziari e ogni altra forma di investimento di natura finanziaria, che consentono agli investitori di partecipare ai mercati finanziari. Non costituiscono prodotti finanziari i depositi bancari o postali non rappresentati da strumenti finanziari.</w:t>
      </w:r>
    </w:p>
    <w:p w14:paraId="22543BDB" w14:textId="77777777" w:rsidR="00B50326" w:rsidRPr="00302D6E" w:rsidRDefault="00B50326" w:rsidP="003A6534">
      <w:p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color w:val="111111"/>
          <w:sz w:val="32"/>
          <w:szCs w:val="32"/>
        </w:rPr>
        <w:t>Per quanto concerne la natura del prodotto finanziario bisogna analizzare due dati. In primo luogo, il prodotto finanziario è necessariamente una forma di investimento, in secondo luogo è una forma di investimento di natura finanziaria. Andando per esclusione, dunque, si deve negare di essere in presenza di un prodotto finanziario se non c'è un impiego di risorse diretto all'ottenimento di un corrispettivo.</w:t>
      </w:r>
    </w:p>
    <w:p w14:paraId="1488F4B6" w14:textId="77777777" w:rsidR="00B50326" w:rsidRPr="00302D6E" w:rsidRDefault="00B50326" w:rsidP="003A6534">
      <w:p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color w:val="111111"/>
          <w:sz w:val="32"/>
          <w:szCs w:val="32"/>
        </w:rPr>
        <w:t>Come gli strumenti finanziari, dunque, anche i prodotti finanziari si risolvono in un contratto caratterizzato dallo scambio di un bene presente (di solito denaro) con un bene futuro (ancora denaro).</w:t>
      </w:r>
    </w:p>
    <w:p w14:paraId="6520ADC7" w14:textId="77777777" w:rsidR="00B50326" w:rsidRPr="00302D6E" w:rsidRDefault="00B50326" w:rsidP="003A6534">
      <w:p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color w:val="111111"/>
          <w:sz w:val="32"/>
          <w:szCs w:val="32"/>
        </w:rPr>
        <w:t xml:space="preserve">I prodotti finanziari riguardo alla loro </w:t>
      </w:r>
      <w:r w:rsidRPr="00302D6E">
        <w:rPr>
          <w:rFonts w:ascii="Calibri" w:eastAsiaTheme="minorEastAsia" w:hAnsi="Calibri" w:cs="Calibri"/>
          <w:b/>
          <w:bCs/>
          <w:color w:val="111111"/>
          <w:sz w:val="32"/>
          <w:szCs w:val="32"/>
        </w:rPr>
        <w:t>rischiosità</w:t>
      </w:r>
      <w:r w:rsidRPr="00302D6E">
        <w:rPr>
          <w:rFonts w:ascii="Calibri" w:eastAsiaTheme="minorEastAsia" w:hAnsi="Calibri" w:cs="Calibri"/>
          <w:color w:val="111111"/>
          <w:sz w:val="32"/>
          <w:szCs w:val="32"/>
        </w:rPr>
        <w:t xml:space="preserve"> si possono dividere in </w:t>
      </w:r>
      <w:r w:rsidRPr="00302D6E">
        <w:rPr>
          <w:rFonts w:ascii="Calibri" w:eastAsiaTheme="minorEastAsia" w:hAnsi="Calibri" w:cs="Calibri"/>
          <w:b/>
          <w:bCs/>
          <w:color w:val="111111"/>
          <w:sz w:val="32"/>
          <w:szCs w:val="32"/>
        </w:rPr>
        <w:t>due gruppi</w:t>
      </w:r>
      <w:r w:rsidRPr="00302D6E">
        <w:rPr>
          <w:rFonts w:ascii="Calibri" w:eastAsiaTheme="minorEastAsia" w:hAnsi="Calibri" w:cs="Calibri"/>
          <w:color w:val="111111"/>
          <w:sz w:val="32"/>
          <w:szCs w:val="32"/>
        </w:rPr>
        <w:t>:</w:t>
      </w:r>
    </w:p>
    <w:p w14:paraId="31B785F5" w14:textId="77777777" w:rsidR="00B50326" w:rsidRPr="00302D6E" w:rsidRDefault="00B50326" w:rsidP="003A6534">
      <w:pPr>
        <w:pStyle w:val="Paragrafoelenco"/>
        <w:numPr>
          <w:ilvl w:val="0"/>
          <w:numId w:val="2"/>
        </w:numPr>
        <w:shd w:val="clear" w:color="auto" w:fill="FFFFFF" w:themeFill="background1"/>
        <w:spacing w:after="0" w:line="240" w:lineRule="auto"/>
        <w:ind w:left="1104"/>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risk-free</w:t>
      </w:r>
      <w:r w:rsidRPr="00302D6E">
        <w:rPr>
          <w:rFonts w:ascii="Calibri" w:eastAsiaTheme="minorEastAsia" w:hAnsi="Calibri" w:cs="Calibri"/>
          <w:color w:val="111111"/>
          <w:sz w:val="32"/>
          <w:szCs w:val="32"/>
        </w:rPr>
        <w:t xml:space="preserve">: almeno in linea teorica sono a rischio zero in quanto il capitale iniziale non si perde, sono contratti garantiti al 100%, spesso anche con un interesse minimo ma certo e contrattualizzato, in forma scritta. Essi sono: il conto di deposito, deposito a risparmio, libretto di risparmio, buono fruttifero postale, pronti contro termine, fido e castelletto e un </w:t>
      </w:r>
      <w:hyperlink r:id="rId9" w:history="1">
        <w:r w:rsidRPr="00302D6E">
          <w:rPr>
            <w:rStyle w:val="Collegamentoipertestuale"/>
            <w:rFonts w:ascii="Calibri" w:eastAsiaTheme="minorEastAsia" w:hAnsi="Calibri" w:cs="Calibri"/>
            <w:color w:val="111111"/>
            <w:sz w:val="32"/>
            <w:szCs w:val="32"/>
          </w:rPr>
          <w:t>titolo</w:t>
        </w:r>
      </w:hyperlink>
      <w:r w:rsidRPr="00302D6E">
        <w:rPr>
          <w:rFonts w:ascii="Calibri" w:eastAsiaTheme="minorEastAsia" w:hAnsi="Calibri" w:cs="Calibri"/>
          <w:color w:val="111111"/>
          <w:sz w:val="32"/>
          <w:szCs w:val="32"/>
        </w:rPr>
        <w:t xml:space="preserve"> di </w:t>
      </w:r>
      <w:r w:rsidRPr="00302D6E">
        <w:rPr>
          <w:rFonts w:ascii="Calibri" w:eastAsiaTheme="minorEastAsia" w:hAnsi="Calibri" w:cs="Calibri"/>
          <w:color w:val="111111"/>
          <w:sz w:val="32"/>
          <w:szCs w:val="32"/>
        </w:rPr>
        <w:lastRenderedPageBreak/>
        <w:t>Stato (salvo insolvenza dello Stato "sovrano", ovvero insolvenza sovrana in contesto di crisi di debito sovrano).</w:t>
      </w:r>
    </w:p>
    <w:p w14:paraId="689AD999" w14:textId="77777777" w:rsidR="00B50326" w:rsidRDefault="00B50326" w:rsidP="003A6534">
      <w:pPr>
        <w:pStyle w:val="Paragrafoelenco"/>
        <w:numPr>
          <w:ilvl w:val="0"/>
          <w:numId w:val="2"/>
        </w:numPr>
        <w:shd w:val="clear" w:color="auto" w:fill="FFFFFF" w:themeFill="background1"/>
        <w:spacing w:after="0" w:line="240" w:lineRule="auto"/>
        <w:ind w:left="1104"/>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con premio per il rischio</w:t>
      </w:r>
      <w:r w:rsidRPr="00302D6E">
        <w:rPr>
          <w:rFonts w:ascii="Calibri" w:eastAsiaTheme="minorEastAsia" w:hAnsi="Calibri" w:cs="Calibri"/>
          <w:color w:val="111111"/>
          <w:sz w:val="32"/>
          <w:szCs w:val="32"/>
        </w:rPr>
        <w:t>: chi investe rischia di perdere in parte o totalmente il capitale iniziale, se ricorre a una leva finanziaria, può perdere anche somme superiori al capitale investito. Il rendimento atteso di investimenti rischiosi è però maggiore. L'investimento deve mantenere nel tempo una diversificazione sufficiente a bilanciare rischio e rendimento, in modo equo. Azioni, obbligazioni e derivati si possono raggruppare in un'unica classe siccome sono tutt'e tre delle security; delle tre, a parità di emittente, l'obbligazione è la meno rischiosa.</w:t>
      </w:r>
    </w:p>
    <w:p w14:paraId="1E032EA8" w14:textId="77777777" w:rsidR="00E93A90" w:rsidRDefault="00E93A90" w:rsidP="00E93A90">
      <w:pPr>
        <w:shd w:val="clear" w:color="auto" w:fill="FFFFFF" w:themeFill="background1"/>
        <w:spacing w:after="0" w:line="240" w:lineRule="auto"/>
        <w:rPr>
          <w:rFonts w:ascii="Calibri" w:eastAsiaTheme="minorEastAsia" w:hAnsi="Calibri" w:cs="Calibri"/>
          <w:color w:val="111111"/>
          <w:sz w:val="32"/>
          <w:szCs w:val="32"/>
        </w:rPr>
      </w:pPr>
    </w:p>
    <w:p w14:paraId="1F270B69" w14:textId="37ED90CA" w:rsidR="00E93A90" w:rsidRPr="00E93A90" w:rsidRDefault="00E93A90" w:rsidP="00E93A90">
      <w:pPr>
        <w:shd w:val="clear" w:color="auto" w:fill="FFFFFF" w:themeFill="background1"/>
        <w:spacing w:after="0" w:line="240" w:lineRule="auto"/>
        <w:jc w:val="center"/>
        <w:rPr>
          <w:rFonts w:ascii="Calibri" w:eastAsiaTheme="minorEastAsia" w:hAnsi="Calibri" w:cs="Calibri"/>
          <w:color w:val="111111"/>
          <w:sz w:val="32"/>
          <w:szCs w:val="32"/>
        </w:rPr>
      </w:pPr>
      <w:r>
        <w:rPr>
          <w:noProof/>
        </w:rPr>
        <w:drawing>
          <wp:inline distT="0" distB="0" distL="0" distR="0" wp14:anchorId="2FD86076" wp14:editId="0ED9AF6E">
            <wp:extent cx="3243764" cy="2164080"/>
            <wp:effectExtent l="0" t="0" r="0" b="0"/>
            <wp:docPr id="1146957339" name="Immagine 5" descr="GLI STRUMENTI FINANZIARI: cosa sono e quali sono i più comuni – CENTRO  DIRITTO BANC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LI STRUMENTI FINANZIARI: cosa sono e quali sono i più comuni – CENTRO  DIRITTO BANCARIO"/>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50968" cy="2168886"/>
                    </a:xfrm>
                    <a:prstGeom prst="rect">
                      <a:avLst/>
                    </a:prstGeom>
                    <a:noFill/>
                    <a:ln>
                      <a:noFill/>
                    </a:ln>
                  </pic:spPr>
                </pic:pic>
              </a:graphicData>
            </a:graphic>
          </wp:inline>
        </w:drawing>
      </w:r>
    </w:p>
    <w:p w14:paraId="2E1087E9" w14:textId="77777777" w:rsidR="0073153E" w:rsidRDefault="0073153E" w:rsidP="003A6534">
      <w:pPr>
        <w:shd w:val="clear" w:color="auto" w:fill="FFFFFF" w:themeFill="background1"/>
        <w:spacing w:after="0" w:line="240" w:lineRule="auto"/>
        <w:rPr>
          <w:rFonts w:ascii="Calibri" w:eastAsiaTheme="minorEastAsia" w:hAnsi="Calibri" w:cs="Calibri"/>
          <w:b/>
          <w:bCs/>
          <w:color w:val="111111"/>
          <w:sz w:val="32"/>
          <w:szCs w:val="32"/>
        </w:rPr>
      </w:pPr>
    </w:p>
    <w:p w14:paraId="2612D77F" w14:textId="4B3ABC14" w:rsidR="00B50326" w:rsidRPr="00302D6E" w:rsidRDefault="00B50326" w:rsidP="003A6534">
      <w:p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Non sono</w:t>
      </w:r>
      <w:r w:rsidRPr="00302D6E">
        <w:rPr>
          <w:rFonts w:ascii="Calibri" w:eastAsiaTheme="minorEastAsia" w:hAnsi="Calibri" w:cs="Calibri"/>
          <w:color w:val="111111"/>
          <w:sz w:val="32"/>
          <w:szCs w:val="32"/>
        </w:rPr>
        <w:t xml:space="preserve">, invece, </w:t>
      </w:r>
      <w:r w:rsidRPr="00302D6E">
        <w:rPr>
          <w:rFonts w:ascii="Calibri" w:eastAsiaTheme="minorEastAsia" w:hAnsi="Calibri" w:cs="Calibri"/>
          <w:b/>
          <w:bCs/>
          <w:color w:val="111111"/>
          <w:sz w:val="32"/>
          <w:szCs w:val="32"/>
        </w:rPr>
        <w:t>strumenti finanziari</w:t>
      </w:r>
      <w:r w:rsidRPr="00302D6E">
        <w:rPr>
          <w:rFonts w:ascii="Calibri" w:eastAsiaTheme="minorEastAsia" w:hAnsi="Calibri" w:cs="Calibri"/>
          <w:color w:val="111111"/>
          <w:sz w:val="32"/>
          <w:szCs w:val="32"/>
        </w:rPr>
        <w:t xml:space="preserve"> (</w:t>
      </w:r>
      <w:r w:rsidRPr="00302D6E">
        <w:rPr>
          <w:rFonts w:ascii="Calibri" w:eastAsiaTheme="minorEastAsia" w:hAnsi="Calibri" w:cs="Calibri"/>
          <w:i/>
          <w:iCs/>
          <w:color w:val="111111"/>
          <w:sz w:val="32"/>
          <w:szCs w:val="32"/>
          <w:u w:val="single"/>
        </w:rPr>
        <w:t>ma comunque prodotti finanziari</w:t>
      </w:r>
      <w:r w:rsidRPr="00302D6E">
        <w:rPr>
          <w:rFonts w:ascii="Calibri" w:eastAsiaTheme="minorEastAsia" w:hAnsi="Calibri" w:cs="Calibri"/>
          <w:color w:val="111111"/>
          <w:sz w:val="32"/>
          <w:szCs w:val="32"/>
        </w:rPr>
        <w:t>) i mezzi di pagamento: i conti correnti, gli assegni bancari, i contanti e le carte di credito.</w:t>
      </w:r>
    </w:p>
    <w:p w14:paraId="3BE1EE84" w14:textId="77777777" w:rsidR="00B50326" w:rsidRPr="00302D6E" w:rsidRDefault="00B50326" w:rsidP="003A6534">
      <w:p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color w:val="111111"/>
          <w:sz w:val="32"/>
          <w:szCs w:val="32"/>
        </w:rPr>
        <w:t xml:space="preserve">Gli </w:t>
      </w:r>
      <w:r w:rsidRPr="00302D6E">
        <w:rPr>
          <w:rFonts w:ascii="Calibri" w:eastAsiaTheme="minorEastAsia" w:hAnsi="Calibri" w:cs="Calibri"/>
          <w:b/>
          <w:bCs/>
          <w:color w:val="111111"/>
          <w:sz w:val="32"/>
          <w:szCs w:val="32"/>
        </w:rPr>
        <w:t xml:space="preserve">strumenti finanziari </w:t>
      </w:r>
      <w:r w:rsidRPr="00302D6E">
        <w:rPr>
          <w:rFonts w:ascii="Calibri" w:eastAsiaTheme="minorEastAsia" w:hAnsi="Calibri" w:cs="Calibri"/>
          <w:color w:val="111111"/>
          <w:sz w:val="32"/>
          <w:szCs w:val="32"/>
        </w:rPr>
        <w:t>rappresentano una vasta categoria di prodotti utilizzati per gli investimenti di natura finanziaria. Questi strumenti possono essere gestiti solo da intermediari qualificati. Alcuni esempi di strumenti finanziari includono:</w:t>
      </w:r>
    </w:p>
    <w:p w14:paraId="65880D73" w14:textId="77777777" w:rsidR="00B50326" w:rsidRPr="00302D6E" w:rsidRDefault="00B50326" w:rsidP="003A6534">
      <w:pPr>
        <w:pStyle w:val="Paragrafoelenco"/>
        <w:numPr>
          <w:ilvl w:val="0"/>
          <w:numId w:val="3"/>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 xml:space="preserve">Azioni </w:t>
      </w:r>
      <w:r w:rsidRPr="00302D6E">
        <w:rPr>
          <w:rFonts w:ascii="Calibri" w:eastAsiaTheme="minorEastAsia" w:hAnsi="Calibri" w:cs="Calibri"/>
          <w:color w:val="111111"/>
          <w:sz w:val="32"/>
          <w:szCs w:val="32"/>
        </w:rPr>
        <w:t>–rappresentano titoli di capitale di rischio negoziabili sul mercato dei capitali</w:t>
      </w:r>
    </w:p>
    <w:p w14:paraId="2F78EA44" w14:textId="77777777" w:rsidR="00B50326" w:rsidRPr="00302D6E" w:rsidRDefault="00B50326" w:rsidP="003A6534">
      <w:pPr>
        <w:pStyle w:val="Paragrafoelenco"/>
        <w:numPr>
          <w:ilvl w:val="0"/>
          <w:numId w:val="3"/>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 xml:space="preserve">Obbligazioni </w:t>
      </w:r>
      <w:r w:rsidRPr="00302D6E">
        <w:rPr>
          <w:rFonts w:ascii="Calibri" w:eastAsiaTheme="minorEastAsia" w:hAnsi="Calibri" w:cs="Calibri"/>
          <w:color w:val="111111"/>
          <w:sz w:val="32"/>
          <w:szCs w:val="32"/>
        </w:rPr>
        <w:t>– sono titoli di debito negoziabili sul mercato dei capitali, tra cui i titoli di Stato</w:t>
      </w:r>
    </w:p>
    <w:p w14:paraId="4CC00559" w14:textId="77777777" w:rsidR="00B50326" w:rsidRPr="00302D6E" w:rsidRDefault="00B50326" w:rsidP="003A6534">
      <w:pPr>
        <w:pStyle w:val="Paragrafoelenco"/>
        <w:numPr>
          <w:ilvl w:val="0"/>
          <w:numId w:val="3"/>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 xml:space="preserve">Quote di fondi comuni di investimento </w:t>
      </w:r>
      <w:r w:rsidRPr="00302D6E">
        <w:rPr>
          <w:rFonts w:ascii="Calibri" w:eastAsiaTheme="minorEastAsia" w:hAnsi="Calibri" w:cs="Calibri"/>
          <w:color w:val="111111"/>
          <w:sz w:val="32"/>
          <w:szCs w:val="32"/>
        </w:rPr>
        <w:t>– rappresentano partecipazioni in fondi comuni di investimento</w:t>
      </w:r>
    </w:p>
    <w:p w14:paraId="7D9A0E94" w14:textId="77777777" w:rsidR="00B50326" w:rsidRPr="00302D6E" w:rsidRDefault="00B50326" w:rsidP="003A6534">
      <w:pPr>
        <w:pStyle w:val="Paragrafoelenco"/>
        <w:numPr>
          <w:ilvl w:val="0"/>
          <w:numId w:val="3"/>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lastRenderedPageBreak/>
        <w:t>Titoli normalmente negoziati sul mercato monetario</w:t>
      </w:r>
      <w:r w:rsidRPr="00302D6E">
        <w:rPr>
          <w:rFonts w:ascii="Calibri" w:eastAsiaTheme="minorEastAsia" w:hAnsi="Calibri" w:cs="Calibri"/>
          <w:color w:val="111111"/>
          <w:sz w:val="32"/>
          <w:szCs w:val="32"/>
        </w:rPr>
        <w:t xml:space="preserve"> – questi includono strumenti come i certificati di deposito e le cambiali</w:t>
      </w:r>
    </w:p>
    <w:p w14:paraId="1A2E4F82" w14:textId="77777777" w:rsidR="00B50326" w:rsidRPr="00302D6E" w:rsidRDefault="00B50326" w:rsidP="003A6534">
      <w:pPr>
        <w:pStyle w:val="Paragrafoelenco"/>
        <w:numPr>
          <w:ilvl w:val="0"/>
          <w:numId w:val="3"/>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Contratti futures su strumenti finanziari</w:t>
      </w:r>
      <w:r w:rsidRPr="00302D6E">
        <w:rPr>
          <w:rFonts w:ascii="Calibri" w:eastAsiaTheme="minorEastAsia" w:hAnsi="Calibri" w:cs="Calibri"/>
          <w:color w:val="111111"/>
          <w:sz w:val="32"/>
          <w:szCs w:val="32"/>
        </w:rPr>
        <w:t xml:space="preserve"> – utilizzati per speculare sui prezzi futuri di asset finanziari, tassi di interesse, valute, merci e indici</w:t>
      </w:r>
    </w:p>
    <w:p w14:paraId="7DACFEEC" w14:textId="77777777" w:rsidR="00B50326" w:rsidRPr="00302D6E" w:rsidRDefault="00B50326" w:rsidP="003A6534">
      <w:pPr>
        <w:pStyle w:val="Paragrafoelenco"/>
        <w:numPr>
          <w:ilvl w:val="0"/>
          <w:numId w:val="3"/>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Contratti di scambio a pronti e a termine (swaps)</w:t>
      </w:r>
      <w:r w:rsidRPr="00302D6E">
        <w:rPr>
          <w:rFonts w:ascii="Calibri" w:eastAsiaTheme="minorEastAsia" w:hAnsi="Calibri" w:cs="Calibri"/>
          <w:color w:val="111111"/>
          <w:sz w:val="32"/>
          <w:szCs w:val="32"/>
        </w:rPr>
        <w:t xml:space="preserve"> -- questi includono gli </w:t>
      </w:r>
      <w:r w:rsidRPr="00302D6E">
        <w:rPr>
          <w:rFonts w:ascii="Calibri" w:eastAsiaTheme="minorEastAsia" w:hAnsi="Calibri" w:cs="Calibri"/>
          <w:b/>
          <w:bCs/>
          <w:i/>
          <w:iCs/>
          <w:color w:val="111111"/>
          <w:sz w:val="32"/>
          <w:szCs w:val="32"/>
        </w:rPr>
        <w:t>equity swaps</w:t>
      </w:r>
      <w:r w:rsidRPr="00302D6E">
        <w:rPr>
          <w:rFonts w:ascii="Calibri" w:eastAsiaTheme="minorEastAsia" w:hAnsi="Calibri" w:cs="Calibri"/>
          <w:color w:val="111111"/>
          <w:sz w:val="32"/>
          <w:szCs w:val="32"/>
        </w:rPr>
        <w:t>, che sono contratti legati agli indici azionari</w:t>
      </w:r>
    </w:p>
    <w:p w14:paraId="70BC959F" w14:textId="77777777" w:rsidR="00B50326" w:rsidRPr="00302D6E" w:rsidRDefault="00B50326" w:rsidP="003A6534">
      <w:pPr>
        <w:pStyle w:val="Paragrafoelenco"/>
        <w:numPr>
          <w:ilvl w:val="0"/>
          <w:numId w:val="3"/>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 xml:space="preserve">Contratti di opzione </w:t>
      </w:r>
      <w:r w:rsidRPr="00302D6E">
        <w:rPr>
          <w:rFonts w:ascii="Calibri" w:eastAsiaTheme="minorEastAsia" w:hAnsi="Calibri" w:cs="Calibri"/>
          <w:color w:val="111111"/>
          <w:sz w:val="32"/>
          <w:szCs w:val="32"/>
        </w:rPr>
        <w:t>– consentono di acquistare o vendere strumenti finanziari o indici a un prezzo prestabilito</w:t>
      </w:r>
    </w:p>
    <w:p w14:paraId="0DC4F890" w14:textId="77777777" w:rsidR="00B50326" w:rsidRPr="00302D6E" w:rsidRDefault="00B50326" w:rsidP="003A6534">
      <w:pPr>
        <w:pStyle w:val="Paragrafoelenco"/>
        <w:numPr>
          <w:ilvl w:val="0"/>
          <w:numId w:val="3"/>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Combinazioni di contratti o titoli</w:t>
      </w:r>
      <w:r w:rsidRPr="00302D6E">
        <w:rPr>
          <w:rFonts w:ascii="Calibri" w:eastAsiaTheme="minorEastAsia" w:hAnsi="Calibri" w:cs="Calibri"/>
          <w:color w:val="111111"/>
          <w:sz w:val="32"/>
          <w:szCs w:val="32"/>
        </w:rPr>
        <w:t xml:space="preserve"> – questi possono includere strategie complesse che combinano diversi strumenti finanziari</w:t>
      </w:r>
    </w:p>
    <w:p w14:paraId="52D2F86E" w14:textId="10418652" w:rsidR="00B50326" w:rsidRDefault="00B50326" w:rsidP="003A6534">
      <w:pPr>
        <w:pStyle w:val="Paragrafoelenco"/>
        <w:numPr>
          <w:ilvl w:val="0"/>
          <w:numId w:val="3"/>
        </w:num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 xml:space="preserve">Certificate </w:t>
      </w:r>
      <w:r w:rsidRPr="00302D6E">
        <w:rPr>
          <w:rFonts w:ascii="Calibri" w:eastAsiaTheme="minorEastAsia" w:hAnsi="Calibri" w:cs="Calibri"/>
          <w:color w:val="111111"/>
          <w:sz w:val="32"/>
          <w:szCs w:val="32"/>
        </w:rPr>
        <w:t>– strumenti finanziari strutturati che offrono esposizione a un sottostante (ad esempio, un indice azionario o una materia prima), con caratteristiche specifiche, come protezione del capitale o leva finanziaria.</w:t>
      </w:r>
    </w:p>
    <w:p w14:paraId="5F4361A7" w14:textId="77777777" w:rsidR="003A6534" w:rsidRDefault="003A6534" w:rsidP="003A6534">
      <w:pPr>
        <w:shd w:val="clear" w:color="auto" w:fill="FFFFFF" w:themeFill="background1"/>
        <w:spacing w:after="0" w:line="240" w:lineRule="auto"/>
        <w:rPr>
          <w:rFonts w:ascii="Calibri" w:eastAsiaTheme="minorEastAsia" w:hAnsi="Calibri" w:cs="Calibri"/>
          <w:color w:val="111111"/>
          <w:sz w:val="32"/>
          <w:szCs w:val="32"/>
        </w:rPr>
      </w:pPr>
    </w:p>
    <w:p w14:paraId="101A2469" w14:textId="3570F1C7" w:rsidR="004C6514" w:rsidRPr="004C6514" w:rsidRDefault="004C6514" w:rsidP="003A6534">
      <w:pPr>
        <w:shd w:val="clear" w:color="auto" w:fill="FFFFFF" w:themeFill="background1"/>
        <w:spacing w:after="0" w:line="240" w:lineRule="auto"/>
        <w:rPr>
          <w:rFonts w:ascii="Calibri Light" w:eastAsiaTheme="minorEastAsia" w:hAnsi="Calibri Light" w:cs="Calibri Light"/>
          <w:b/>
          <w:bCs/>
          <w:color w:val="FF0000"/>
          <w:sz w:val="48"/>
          <w:szCs w:val="48"/>
        </w:rPr>
      </w:pPr>
      <w:r>
        <w:rPr>
          <w:rFonts w:ascii="Calibri Light" w:eastAsiaTheme="minorEastAsia" w:hAnsi="Calibri Light" w:cs="Calibri Light"/>
          <w:b/>
          <w:bCs/>
          <w:color w:val="FF0000"/>
          <w:sz w:val="48"/>
          <w:szCs w:val="48"/>
        </w:rPr>
        <w:t>I rapporti tra imprese e mercato borsistico</w:t>
      </w:r>
    </w:p>
    <w:p w14:paraId="36CB31DB" w14:textId="77777777" w:rsidR="00111ECC" w:rsidRDefault="00111ECC" w:rsidP="00111ECC">
      <w:pPr>
        <w:pStyle w:val="NormaleWeb"/>
        <w:spacing w:before="0" w:beforeAutospacing="0" w:after="0" w:afterAutospacing="0"/>
        <w:rPr>
          <w:rFonts w:ascii="Calibri" w:hAnsi="Calibri" w:cs="Calibri"/>
          <w:color w:val="212529"/>
          <w:sz w:val="32"/>
          <w:szCs w:val="32"/>
        </w:rPr>
      </w:pPr>
      <w:r w:rsidRPr="00E4689C">
        <w:rPr>
          <w:rFonts w:ascii="Calibri" w:hAnsi="Calibri" w:cs="Calibri"/>
          <w:sz w:val="32"/>
          <w:szCs w:val="32"/>
        </w:rPr>
        <w:t xml:space="preserve">Per </w:t>
      </w:r>
      <w:r w:rsidRPr="00C446D8">
        <w:rPr>
          <w:rFonts w:ascii="Calibri" w:hAnsi="Calibri" w:cs="Calibri"/>
          <w:b/>
          <w:bCs/>
          <w:sz w:val="32"/>
          <w:szCs w:val="32"/>
        </w:rPr>
        <w:t xml:space="preserve">far </w:t>
      </w:r>
      <w:r w:rsidRPr="00C446D8">
        <w:rPr>
          <w:rFonts w:ascii="Calibri" w:hAnsi="Calibri" w:cs="Calibri"/>
          <w:b/>
          <w:bCs/>
          <w:color w:val="212529"/>
          <w:sz w:val="32"/>
          <w:szCs w:val="32"/>
        </w:rPr>
        <w:t>fronte alle numerose difficoltà</w:t>
      </w:r>
      <w:r>
        <w:rPr>
          <w:rFonts w:ascii="Calibri" w:hAnsi="Calibri" w:cs="Calibri"/>
          <w:color w:val="212529"/>
          <w:sz w:val="32"/>
          <w:szCs w:val="32"/>
        </w:rPr>
        <w:t xml:space="preserve"> che le piccole e medie imprese si trovano davanti, è diventata </w:t>
      </w:r>
      <w:r w:rsidRPr="00C446D8">
        <w:rPr>
          <w:rFonts w:ascii="Calibri" w:hAnsi="Calibri" w:cs="Calibri"/>
          <w:b/>
          <w:bCs/>
          <w:color w:val="212529"/>
          <w:sz w:val="32"/>
          <w:szCs w:val="32"/>
        </w:rPr>
        <w:t>imprescindibile la necessità di crescere</w:t>
      </w:r>
      <w:r>
        <w:rPr>
          <w:rFonts w:ascii="Calibri" w:hAnsi="Calibri" w:cs="Calibri"/>
          <w:color w:val="212529"/>
          <w:sz w:val="32"/>
          <w:szCs w:val="32"/>
        </w:rPr>
        <w:t xml:space="preserve"> attraverso un consolidamento che porti la soglia di sopravvivenza delle stesse verso dimensioni maggiori. Questo comporta il </w:t>
      </w:r>
      <w:r w:rsidRPr="00C446D8">
        <w:rPr>
          <w:rFonts w:ascii="Calibri" w:hAnsi="Calibri" w:cs="Calibri"/>
          <w:b/>
          <w:bCs/>
          <w:color w:val="212529"/>
          <w:sz w:val="32"/>
          <w:szCs w:val="32"/>
        </w:rPr>
        <w:t>reperimento di risorse finanziarie</w:t>
      </w:r>
      <w:r>
        <w:rPr>
          <w:rFonts w:ascii="Calibri" w:hAnsi="Calibri" w:cs="Calibri"/>
          <w:color w:val="212529"/>
          <w:sz w:val="32"/>
          <w:szCs w:val="32"/>
        </w:rPr>
        <w:t xml:space="preserve"> possibilmente attraverso una diversificazione delle fonti; i soldi possono arrivare da tre diversi canali: dal canale bancario, dall’autofinanziamento e dal capitale di rischio (la quotazione in Borsa).</w:t>
      </w:r>
    </w:p>
    <w:p w14:paraId="2C446059" w14:textId="33F39AAF" w:rsidR="00111ECC" w:rsidRDefault="00111ECC" w:rsidP="00111ECC">
      <w:pPr>
        <w:pStyle w:val="NormaleWeb"/>
        <w:spacing w:before="0" w:beforeAutospacing="0" w:after="0" w:afterAutospacing="0"/>
        <w:rPr>
          <w:rFonts w:ascii="Calibri" w:hAnsi="Calibri" w:cs="Calibri"/>
          <w:color w:val="212529"/>
          <w:sz w:val="32"/>
          <w:szCs w:val="32"/>
        </w:rPr>
      </w:pPr>
      <w:r>
        <w:rPr>
          <w:rFonts w:ascii="Calibri" w:hAnsi="Calibri" w:cs="Calibri"/>
          <w:color w:val="212529"/>
          <w:sz w:val="32"/>
          <w:szCs w:val="32"/>
        </w:rPr>
        <w:t xml:space="preserve">Nella </w:t>
      </w:r>
      <w:r w:rsidRPr="00C446D8">
        <w:rPr>
          <w:rFonts w:ascii="Calibri" w:hAnsi="Calibri" w:cs="Calibri"/>
          <w:b/>
          <w:bCs/>
          <w:color w:val="212529"/>
          <w:sz w:val="32"/>
          <w:szCs w:val="32"/>
        </w:rPr>
        <w:t>quotazione in Borsa</w:t>
      </w:r>
      <w:r>
        <w:rPr>
          <w:rFonts w:ascii="Calibri" w:hAnsi="Calibri" w:cs="Calibri"/>
          <w:color w:val="212529"/>
          <w:sz w:val="32"/>
          <w:szCs w:val="32"/>
        </w:rPr>
        <w:t xml:space="preserve"> la società cede al mercato una parte delle proprie azioni, spesso derivanti da un contestuale aumento di capitale, incassando nuova liquidità che potrà poi essere investita per crescere e sviluppare il proprio business.</w:t>
      </w:r>
      <w:r w:rsidR="00C446D8">
        <w:rPr>
          <w:rFonts w:ascii="Calibri" w:hAnsi="Calibri" w:cs="Calibri"/>
          <w:color w:val="212529"/>
          <w:sz w:val="32"/>
          <w:szCs w:val="32"/>
        </w:rPr>
        <w:t xml:space="preserve"> L</w:t>
      </w:r>
      <w:r>
        <w:rPr>
          <w:rFonts w:ascii="Calibri" w:hAnsi="Calibri" w:cs="Calibri"/>
          <w:color w:val="212529"/>
          <w:sz w:val="32"/>
          <w:szCs w:val="32"/>
        </w:rPr>
        <w:t xml:space="preserve">a quotazione in borsa richiede un </w:t>
      </w:r>
      <w:r w:rsidRPr="00F14BE1">
        <w:rPr>
          <w:rFonts w:ascii="Calibri" w:hAnsi="Calibri" w:cs="Calibri"/>
          <w:b/>
          <w:bCs/>
          <w:color w:val="212529"/>
          <w:sz w:val="32"/>
          <w:szCs w:val="32"/>
        </w:rPr>
        <w:t>complesso e duraturo studio di fattibilità</w:t>
      </w:r>
      <w:r>
        <w:rPr>
          <w:rFonts w:ascii="Calibri" w:hAnsi="Calibri" w:cs="Calibri"/>
          <w:color w:val="212529"/>
          <w:sz w:val="32"/>
          <w:szCs w:val="32"/>
        </w:rPr>
        <w:t xml:space="preserve"> volto a valutare con attenzione i vantaggi e gli svantaggi che tale scelta porta all’impresa, anche alla luce dei profondi cambiamenti che si rendono necessari.</w:t>
      </w:r>
    </w:p>
    <w:p w14:paraId="55AFFECB" w14:textId="77777777" w:rsidR="00D90309" w:rsidRDefault="00D90309" w:rsidP="00111ECC">
      <w:pPr>
        <w:pStyle w:val="NormaleWeb"/>
        <w:spacing w:before="0" w:beforeAutospacing="0" w:after="0" w:afterAutospacing="0"/>
        <w:rPr>
          <w:rFonts w:ascii="Calibri" w:hAnsi="Calibri" w:cs="Calibri"/>
          <w:color w:val="212529"/>
          <w:sz w:val="32"/>
          <w:szCs w:val="32"/>
        </w:rPr>
      </w:pPr>
    </w:p>
    <w:p w14:paraId="7F5DA7D2" w14:textId="77777777" w:rsidR="00D90309" w:rsidRDefault="00D90309" w:rsidP="00D90309">
      <w:pPr>
        <w:pStyle w:val="NormaleWeb"/>
        <w:spacing w:before="0" w:beforeAutospacing="0" w:after="0" w:afterAutospacing="0"/>
        <w:rPr>
          <w:rFonts w:ascii="Calibri" w:hAnsi="Calibri" w:cs="Calibri"/>
          <w:color w:val="212529"/>
          <w:sz w:val="32"/>
          <w:szCs w:val="32"/>
        </w:rPr>
      </w:pPr>
      <w:r>
        <w:rPr>
          <w:rFonts w:ascii="Calibri" w:hAnsi="Calibri" w:cs="Calibri"/>
          <w:color w:val="212529"/>
          <w:sz w:val="32"/>
          <w:szCs w:val="32"/>
        </w:rPr>
        <w:t xml:space="preserve">Sin dalla nascita, la Borsa Italiana ha avviato </w:t>
      </w:r>
      <w:r w:rsidRPr="00F14BE1">
        <w:rPr>
          <w:rFonts w:ascii="Calibri" w:hAnsi="Calibri" w:cs="Calibri"/>
          <w:color w:val="212529"/>
          <w:sz w:val="32"/>
          <w:szCs w:val="32"/>
        </w:rPr>
        <w:t>un</w:t>
      </w:r>
      <w:r w:rsidRPr="00F14BE1">
        <w:rPr>
          <w:rFonts w:ascii="Calibri" w:hAnsi="Calibri" w:cs="Calibri"/>
          <w:b/>
          <w:bCs/>
          <w:color w:val="212529"/>
          <w:sz w:val="32"/>
          <w:szCs w:val="32"/>
        </w:rPr>
        <w:t xml:space="preserve"> importante processo di segmentazione dei mercati azionari</w:t>
      </w:r>
      <w:r>
        <w:rPr>
          <w:rFonts w:ascii="Calibri" w:hAnsi="Calibri" w:cs="Calibri"/>
          <w:color w:val="212529"/>
          <w:sz w:val="32"/>
          <w:szCs w:val="32"/>
        </w:rPr>
        <w:t xml:space="preserve">, creando ambienti regolamentari e </w:t>
      </w:r>
      <w:r>
        <w:rPr>
          <w:rFonts w:ascii="Calibri" w:hAnsi="Calibri" w:cs="Calibri"/>
          <w:color w:val="212529"/>
          <w:sz w:val="32"/>
          <w:szCs w:val="32"/>
        </w:rPr>
        <w:lastRenderedPageBreak/>
        <w:t xml:space="preserve">operativi su “misura”, in grado di cogliere le esigenze specifiche delle imprese italiane. Si è cercato, in altre parole, di suddividere il mercato azionario in diversi </w:t>
      </w:r>
      <w:r w:rsidRPr="00F14BE1">
        <w:rPr>
          <w:rFonts w:ascii="Calibri" w:hAnsi="Calibri" w:cs="Calibri"/>
          <w:b/>
          <w:bCs/>
          <w:color w:val="212529"/>
          <w:sz w:val="32"/>
          <w:szCs w:val="32"/>
        </w:rPr>
        <w:t>sotto-segmenti</w:t>
      </w:r>
      <w:r>
        <w:rPr>
          <w:rFonts w:ascii="Calibri" w:hAnsi="Calibri" w:cs="Calibri"/>
          <w:color w:val="212529"/>
          <w:sz w:val="32"/>
          <w:szCs w:val="32"/>
        </w:rPr>
        <w:t xml:space="preserve"> ognuno dei quali raggruppa imprese simili in termini di dimensione, esigenze e peculiarità.</w:t>
      </w:r>
    </w:p>
    <w:p w14:paraId="25087AF8" w14:textId="77777777" w:rsidR="00D90309" w:rsidRPr="00414BEB" w:rsidRDefault="00D90309" w:rsidP="00D90309">
      <w:pPr>
        <w:pStyle w:val="NormaleWeb"/>
        <w:spacing w:before="0" w:beforeAutospacing="0" w:after="0" w:afterAutospacing="0"/>
        <w:rPr>
          <w:rFonts w:ascii="Calibri" w:hAnsi="Calibri" w:cs="Calibri"/>
          <w:color w:val="212529"/>
          <w:sz w:val="32"/>
          <w:szCs w:val="32"/>
        </w:rPr>
      </w:pPr>
    </w:p>
    <w:p w14:paraId="3AD9CC15" w14:textId="77777777" w:rsidR="00D90309" w:rsidRDefault="00D90309" w:rsidP="00D90309">
      <w:pPr>
        <w:pStyle w:val="NormaleWeb"/>
        <w:spacing w:before="0" w:beforeAutospacing="0" w:after="0" w:afterAutospacing="0"/>
        <w:rPr>
          <w:rFonts w:ascii="Calibri" w:hAnsi="Calibri" w:cs="Calibri"/>
          <w:sz w:val="32"/>
          <w:szCs w:val="32"/>
        </w:rPr>
      </w:pPr>
      <w:r w:rsidRPr="00B93617">
        <w:rPr>
          <w:rFonts w:ascii="Calibri" w:hAnsi="Calibri" w:cs="Calibri"/>
          <w:sz w:val="32"/>
          <w:szCs w:val="32"/>
        </w:rPr>
        <w:t xml:space="preserve">La </w:t>
      </w:r>
      <w:r w:rsidRPr="00F21B1D">
        <w:rPr>
          <w:rFonts w:ascii="Calibri" w:hAnsi="Calibri" w:cs="Calibri"/>
          <w:b/>
          <w:bCs/>
          <w:sz w:val="32"/>
          <w:szCs w:val="32"/>
        </w:rPr>
        <w:t>Borsa Italiana</w:t>
      </w:r>
      <w:r>
        <w:rPr>
          <w:rFonts w:ascii="Calibri" w:hAnsi="Calibri" w:cs="Calibri"/>
          <w:sz w:val="32"/>
          <w:szCs w:val="32"/>
        </w:rPr>
        <w:t xml:space="preserve"> </w:t>
      </w:r>
      <w:r w:rsidRPr="00B93617">
        <w:rPr>
          <w:rFonts w:ascii="Calibri" w:hAnsi="Calibri" w:cs="Calibri"/>
          <w:sz w:val="32"/>
          <w:szCs w:val="32"/>
        </w:rPr>
        <w:t>dal 2018</w:t>
      </w:r>
      <w:r>
        <w:rPr>
          <w:rFonts w:ascii="Calibri" w:hAnsi="Calibri" w:cs="Calibri"/>
          <w:sz w:val="32"/>
          <w:szCs w:val="32"/>
        </w:rPr>
        <w:t xml:space="preserve"> </w:t>
      </w:r>
      <w:r w:rsidRPr="00F21B1D">
        <w:rPr>
          <w:rFonts w:ascii="Calibri" w:hAnsi="Calibri" w:cs="Calibri"/>
          <w:b/>
          <w:bCs/>
          <w:sz w:val="32"/>
          <w:szCs w:val="32"/>
        </w:rPr>
        <w:t>ha aiutato circa 250 piccole e medie imprese</w:t>
      </w:r>
      <w:r>
        <w:rPr>
          <w:rFonts w:ascii="Calibri" w:hAnsi="Calibri" w:cs="Calibri"/>
          <w:sz w:val="32"/>
          <w:szCs w:val="32"/>
        </w:rPr>
        <w:t xml:space="preserve"> a realizzare le proprie ambizioni di crescita. Infatti, </w:t>
      </w:r>
      <w:r w:rsidRPr="00F21B1D">
        <w:rPr>
          <w:rFonts w:ascii="Calibri" w:hAnsi="Calibri" w:cs="Calibri"/>
          <w:b/>
          <w:bCs/>
          <w:sz w:val="32"/>
          <w:szCs w:val="32"/>
        </w:rPr>
        <w:t>i mercati azionari</w:t>
      </w:r>
      <w:r>
        <w:rPr>
          <w:rFonts w:ascii="Calibri" w:hAnsi="Calibri" w:cs="Calibri"/>
          <w:sz w:val="32"/>
          <w:szCs w:val="32"/>
        </w:rPr>
        <w:t xml:space="preserve"> di Borsa Italiana </w:t>
      </w:r>
      <w:r w:rsidRPr="00F21B1D">
        <w:rPr>
          <w:rFonts w:ascii="Calibri" w:hAnsi="Calibri" w:cs="Calibri"/>
          <w:b/>
          <w:bCs/>
          <w:sz w:val="32"/>
          <w:szCs w:val="32"/>
        </w:rPr>
        <w:t>consentono ad imprese di ogni dimensione di raccogliere importanti risorse finanziarie</w:t>
      </w:r>
      <w:r>
        <w:rPr>
          <w:rFonts w:ascii="Calibri" w:hAnsi="Calibri" w:cs="Calibri"/>
          <w:sz w:val="32"/>
          <w:szCs w:val="32"/>
        </w:rPr>
        <w:t>; come: risorse per accelerare lo sviluppo, diversificare le fonti di finanziamento e coinvolgere nell’azionariato investitori domestici e internazionali.</w:t>
      </w:r>
    </w:p>
    <w:p w14:paraId="5021FA73" w14:textId="77777777" w:rsidR="002A4734" w:rsidRDefault="002A4734" w:rsidP="00D90309">
      <w:pPr>
        <w:pStyle w:val="NormaleWeb"/>
        <w:spacing w:before="0" w:beforeAutospacing="0" w:after="0" w:afterAutospacing="0"/>
        <w:rPr>
          <w:rFonts w:ascii="Calibri" w:hAnsi="Calibri" w:cs="Calibri"/>
          <w:sz w:val="32"/>
          <w:szCs w:val="32"/>
        </w:rPr>
      </w:pPr>
    </w:p>
    <w:p w14:paraId="50770D3B" w14:textId="547363AB" w:rsidR="00D90309" w:rsidRDefault="002A4734" w:rsidP="002A4734">
      <w:pPr>
        <w:pStyle w:val="NormaleWeb"/>
        <w:spacing w:before="0" w:beforeAutospacing="0" w:after="0" w:afterAutospacing="0"/>
        <w:jc w:val="center"/>
        <w:rPr>
          <w:rFonts w:ascii="Calibri" w:hAnsi="Calibri" w:cs="Calibri"/>
          <w:sz w:val="32"/>
          <w:szCs w:val="32"/>
        </w:rPr>
      </w:pPr>
      <w:r>
        <w:rPr>
          <w:noProof/>
        </w:rPr>
        <w:drawing>
          <wp:inline distT="0" distB="0" distL="0" distR="0" wp14:anchorId="2428FD6C" wp14:editId="5B04B7B4">
            <wp:extent cx="2964180" cy="1976017"/>
            <wp:effectExtent l="0" t="0" r="0" b="0"/>
            <wp:docPr id="1530784645" name="Immagine 2" descr="Consob, la Borsa si butta alle spalle la pandem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nsob, la Borsa si butta alle spalle la pandemia"/>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94595" cy="1996292"/>
                    </a:xfrm>
                    <a:prstGeom prst="rect">
                      <a:avLst/>
                    </a:prstGeom>
                    <a:noFill/>
                    <a:ln>
                      <a:noFill/>
                    </a:ln>
                  </pic:spPr>
                </pic:pic>
              </a:graphicData>
            </a:graphic>
          </wp:inline>
        </w:drawing>
      </w:r>
    </w:p>
    <w:p w14:paraId="5589BDF6" w14:textId="77777777" w:rsidR="002A4734" w:rsidRDefault="002A4734" w:rsidP="002A4734">
      <w:pPr>
        <w:pStyle w:val="NormaleWeb"/>
        <w:spacing w:before="0" w:beforeAutospacing="0" w:after="0" w:afterAutospacing="0"/>
        <w:jc w:val="center"/>
        <w:rPr>
          <w:rFonts w:ascii="Calibri" w:hAnsi="Calibri" w:cs="Calibri"/>
          <w:sz w:val="32"/>
          <w:szCs w:val="32"/>
        </w:rPr>
      </w:pPr>
    </w:p>
    <w:p w14:paraId="024374D7" w14:textId="77777777" w:rsidR="00D90309" w:rsidRPr="00C62A13" w:rsidRDefault="00D90309" w:rsidP="00D90309">
      <w:pPr>
        <w:pStyle w:val="NormaleWeb"/>
        <w:spacing w:before="0" w:beforeAutospacing="0" w:after="0" w:afterAutospacing="0"/>
        <w:rPr>
          <w:rFonts w:asciiTheme="majorHAnsi" w:hAnsiTheme="majorHAnsi" w:cs="Calibri"/>
          <w:sz w:val="40"/>
          <w:szCs w:val="40"/>
        </w:rPr>
      </w:pPr>
      <w:r>
        <w:rPr>
          <w:rFonts w:asciiTheme="majorHAnsi" w:hAnsiTheme="majorHAnsi" w:cs="Calibri"/>
          <w:sz w:val="40"/>
          <w:szCs w:val="40"/>
        </w:rPr>
        <w:t>Benefici e responsabilità della quotazione in Borsa</w:t>
      </w:r>
    </w:p>
    <w:p w14:paraId="70E61EDD" w14:textId="77777777" w:rsidR="00D90309" w:rsidRDefault="00D90309" w:rsidP="00D90309">
      <w:pPr>
        <w:pStyle w:val="NormaleWeb"/>
        <w:spacing w:before="0" w:beforeAutospacing="0" w:after="0" w:afterAutospacing="0"/>
        <w:rPr>
          <w:rFonts w:ascii="Calibri" w:hAnsi="Calibri" w:cs="Calibri"/>
          <w:color w:val="212529"/>
          <w:sz w:val="32"/>
          <w:szCs w:val="32"/>
        </w:rPr>
      </w:pPr>
    </w:p>
    <w:p w14:paraId="473AFE6C" w14:textId="77777777" w:rsidR="00D90309" w:rsidRDefault="00D90309" w:rsidP="00D90309">
      <w:pPr>
        <w:pStyle w:val="NormaleWeb"/>
        <w:spacing w:before="0" w:beforeAutospacing="0" w:after="0" w:afterAutospacing="0"/>
        <w:rPr>
          <w:rFonts w:ascii="Calibri" w:hAnsi="Calibri" w:cs="Calibri"/>
          <w:color w:val="212529"/>
          <w:sz w:val="32"/>
          <w:szCs w:val="32"/>
        </w:rPr>
      </w:pPr>
      <w:r>
        <w:rPr>
          <w:rFonts w:ascii="Calibri" w:hAnsi="Calibri" w:cs="Calibri"/>
          <w:color w:val="212529"/>
          <w:sz w:val="32"/>
          <w:szCs w:val="32"/>
        </w:rPr>
        <w:t xml:space="preserve">Le </w:t>
      </w:r>
      <w:r w:rsidRPr="00C62A13">
        <w:rPr>
          <w:rFonts w:ascii="Calibri" w:hAnsi="Calibri" w:cs="Calibri"/>
          <w:b/>
          <w:bCs/>
          <w:color w:val="212529"/>
          <w:sz w:val="32"/>
          <w:szCs w:val="32"/>
        </w:rPr>
        <w:t>opportunità</w:t>
      </w:r>
      <w:r>
        <w:rPr>
          <w:rFonts w:ascii="Calibri" w:hAnsi="Calibri" w:cs="Calibri"/>
          <w:color w:val="212529"/>
          <w:sz w:val="32"/>
          <w:szCs w:val="32"/>
        </w:rPr>
        <w:t xml:space="preserve"> a cui hanno accesso le società </w:t>
      </w:r>
      <w:r w:rsidRPr="00C62A13">
        <w:rPr>
          <w:rFonts w:ascii="Calibri" w:hAnsi="Calibri" w:cs="Calibri"/>
          <w:b/>
          <w:bCs/>
          <w:color w:val="212529"/>
          <w:sz w:val="32"/>
          <w:szCs w:val="32"/>
        </w:rPr>
        <w:t>quotate possono trasformarsi in benefici continuativi</w:t>
      </w:r>
      <w:r>
        <w:rPr>
          <w:rFonts w:ascii="Calibri" w:hAnsi="Calibri" w:cs="Calibri"/>
          <w:color w:val="212529"/>
          <w:sz w:val="32"/>
          <w:szCs w:val="32"/>
        </w:rPr>
        <w:t xml:space="preserve"> che ne incrementano lo status, la visibilità e la capacità competitiva; come:</w:t>
      </w:r>
    </w:p>
    <w:p w14:paraId="3D3F42A3" w14:textId="77777777" w:rsidR="00D90309" w:rsidRDefault="00D90309" w:rsidP="00D90309">
      <w:pPr>
        <w:pStyle w:val="NormaleWeb"/>
        <w:numPr>
          <w:ilvl w:val="0"/>
          <w:numId w:val="10"/>
        </w:numPr>
        <w:spacing w:before="0" w:beforeAutospacing="0" w:after="0" w:afterAutospacing="0"/>
        <w:rPr>
          <w:rFonts w:ascii="Calibri" w:hAnsi="Calibri" w:cs="Calibri"/>
          <w:sz w:val="32"/>
          <w:szCs w:val="32"/>
        </w:rPr>
      </w:pPr>
      <w:r>
        <w:rPr>
          <w:rFonts w:ascii="Calibri" w:hAnsi="Calibri" w:cs="Calibri"/>
          <w:b/>
          <w:bCs/>
          <w:sz w:val="32"/>
          <w:szCs w:val="32"/>
        </w:rPr>
        <w:t>Finanziare la crescita</w:t>
      </w:r>
      <w:r>
        <w:rPr>
          <w:rFonts w:ascii="Calibri" w:hAnsi="Calibri" w:cs="Calibri"/>
          <w:sz w:val="32"/>
          <w:szCs w:val="32"/>
        </w:rPr>
        <w:t>, la quotazione permette alle aziende di raccogliere risorse finanziarie per accelerare lo sviluppo e competere in un contesto globale;</w:t>
      </w:r>
    </w:p>
    <w:p w14:paraId="3EEC330B" w14:textId="77777777" w:rsidR="00D90309" w:rsidRDefault="00D90309" w:rsidP="00D90309">
      <w:pPr>
        <w:pStyle w:val="NormaleWeb"/>
        <w:numPr>
          <w:ilvl w:val="0"/>
          <w:numId w:val="10"/>
        </w:numPr>
        <w:spacing w:before="0" w:beforeAutospacing="0" w:after="0" w:afterAutospacing="0"/>
        <w:rPr>
          <w:rFonts w:ascii="Calibri" w:hAnsi="Calibri" w:cs="Calibri"/>
          <w:sz w:val="32"/>
          <w:szCs w:val="32"/>
        </w:rPr>
      </w:pPr>
      <w:r>
        <w:rPr>
          <w:rFonts w:ascii="Calibri" w:hAnsi="Calibri" w:cs="Calibri"/>
          <w:b/>
          <w:bCs/>
          <w:sz w:val="32"/>
          <w:szCs w:val="32"/>
        </w:rPr>
        <w:t>Aumentare visibilità e credibilità</w:t>
      </w:r>
      <w:r>
        <w:rPr>
          <w:rFonts w:ascii="Calibri" w:hAnsi="Calibri" w:cs="Calibri"/>
          <w:sz w:val="32"/>
          <w:szCs w:val="32"/>
        </w:rPr>
        <w:t>, la quotazione è un biglietto da visita a livello nazionale e internazionale. La volontà di aderire alla regolamentazione di Borsa Italiana e ai requisiti di trasparenza crea un valore oggettivo riconosciuto;</w:t>
      </w:r>
    </w:p>
    <w:p w14:paraId="066EFFF2" w14:textId="77777777" w:rsidR="00D90309" w:rsidRDefault="00D90309" w:rsidP="00D90309">
      <w:pPr>
        <w:pStyle w:val="NormaleWeb"/>
        <w:numPr>
          <w:ilvl w:val="0"/>
          <w:numId w:val="10"/>
        </w:numPr>
        <w:spacing w:before="0" w:beforeAutospacing="0" w:after="0" w:afterAutospacing="0"/>
        <w:rPr>
          <w:rFonts w:ascii="Calibri" w:hAnsi="Calibri" w:cs="Calibri"/>
          <w:sz w:val="32"/>
          <w:szCs w:val="32"/>
        </w:rPr>
      </w:pPr>
      <w:r>
        <w:rPr>
          <w:rFonts w:ascii="Calibri" w:hAnsi="Calibri" w:cs="Calibri"/>
          <w:b/>
          <w:bCs/>
          <w:sz w:val="32"/>
          <w:szCs w:val="32"/>
        </w:rPr>
        <w:t>Ampliare l’azionariato</w:t>
      </w:r>
      <w:r>
        <w:rPr>
          <w:rFonts w:ascii="Calibri" w:hAnsi="Calibri" w:cs="Calibri"/>
          <w:sz w:val="32"/>
          <w:szCs w:val="32"/>
        </w:rPr>
        <w:t xml:space="preserve">, la quotazione permette di modificare la società tramite l’ingresso di investitori qualificati nel capitale. La </w:t>
      </w:r>
      <w:r>
        <w:rPr>
          <w:rFonts w:ascii="Calibri" w:hAnsi="Calibri" w:cs="Calibri"/>
          <w:sz w:val="32"/>
          <w:szCs w:val="32"/>
        </w:rPr>
        <w:lastRenderedPageBreak/>
        <w:t>nuova struttura societaria viene riflessa nella corporate governance adottata dalla società;</w:t>
      </w:r>
    </w:p>
    <w:p w14:paraId="6B5D9D4F" w14:textId="77777777" w:rsidR="00D90309" w:rsidRDefault="00D90309" w:rsidP="00D90309">
      <w:pPr>
        <w:pStyle w:val="NormaleWeb"/>
        <w:numPr>
          <w:ilvl w:val="0"/>
          <w:numId w:val="10"/>
        </w:numPr>
        <w:spacing w:before="0" w:beforeAutospacing="0" w:after="0" w:afterAutospacing="0"/>
        <w:rPr>
          <w:rFonts w:ascii="Calibri" w:hAnsi="Calibri" w:cs="Calibri"/>
          <w:sz w:val="32"/>
          <w:szCs w:val="32"/>
        </w:rPr>
      </w:pPr>
      <w:r>
        <w:rPr>
          <w:rFonts w:ascii="Calibri" w:hAnsi="Calibri" w:cs="Calibri"/>
          <w:b/>
          <w:bCs/>
          <w:sz w:val="32"/>
          <w:szCs w:val="32"/>
        </w:rPr>
        <w:t>Liquidare l’investimento</w:t>
      </w:r>
      <w:r>
        <w:rPr>
          <w:rFonts w:ascii="Calibri" w:hAnsi="Calibri" w:cs="Calibri"/>
          <w:sz w:val="32"/>
          <w:szCs w:val="32"/>
        </w:rPr>
        <w:t>, la quotazione offre agli azionisti esistenti la possibilità di liquidare tutto o in parte l’investimento. I fondi di Private Equity possono cogliere l’opportunità della quotazione per disinvestire la propria quota di partecipazione;</w:t>
      </w:r>
    </w:p>
    <w:p w14:paraId="0168DAF6" w14:textId="77777777" w:rsidR="00D90309" w:rsidRDefault="00D90309" w:rsidP="00D90309">
      <w:pPr>
        <w:pStyle w:val="NormaleWeb"/>
        <w:numPr>
          <w:ilvl w:val="0"/>
          <w:numId w:val="10"/>
        </w:numPr>
        <w:spacing w:before="0" w:beforeAutospacing="0" w:after="0" w:afterAutospacing="0"/>
        <w:rPr>
          <w:rFonts w:ascii="Calibri" w:hAnsi="Calibri" w:cs="Calibri"/>
          <w:sz w:val="32"/>
          <w:szCs w:val="32"/>
        </w:rPr>
      </w:pPr>
      <w:r>
        <w:rPr>
          <w:rFonts w:ascii="Calibri" w:hAnsi="Calibri" w:cs="Calibri"/>
          <w:b/>
          <w:bCs/>
          <w:sz w:val="32"/>
          <w:szCs w:val="32"/>
        </w:rPr>
        <w:t>Attrare risorse qualificate</w:t>
      </w:r>
      <w:r>
        <w:rPr>
          <w:rFonts w:ascii="Calibri" w:hAnsi="Calibri" w:cs="Calibri"/>
          <w:sz w:val="32"/>
          <w:szCs w:val="32"/>
        </w:rPr>
        <w:t>, la quotazione conferisce alla società prestigio e standing tali da facilitare l’attrazione di risorse qualificate, a tutti i livelli della struttura.</w:t>
      </w:r>
    </w:p>
    <w:p w14:paraId="2EA4BB34" w14:textId="77777777" w:rsidR="00D90309" w:rsidRDefault="00D90309" w:rsidP="00D90309">
      <w:pPr>
        <w:pStyle w:val="NormaleWeb"/>
        <w:spacing w:before="0" w:beforeAutospacing="0" w:after="0" w:afterAutospacing="0"/>
        <w:rPr>
          <w:rFonts w:ascii="Calibri" w:hAnsi="Calibri" w:cs="Calibri"/>
          <w:sz w:val="32"/>
          <w:szCs w:val="32"/>
        </w:rPr>
      </w:pPr>
    </w:p>
    <w:p w14:paraId="00AE7756" w14:textId="77777777" w:rsidR="00D90309" w:rsidRDefault="00D90309" w:rsidP="00D90309">
      <w:pPr>
        <w:pStyle w:val="NormaleWeb"/>
        <w:spacing w:before="0" w:beforeAutospacing="0" w:after="0" w:afterAutospacing="0"/>
        <w:rPr>
          <w:rFonts w:ascii="Calibri" w:hAnsi="Calibri" w:cs="Calibri"/>
          <w:sz w:val="32"/>
          <w:szCs w:val="32"/>
        </w:rPr>
      </w:pPr>
      <w:r>
        <w:rPr>
          <w:rFonts w:ascii="Calibri" w:hAnsi="Calibri" w:cs="Calibri"/>
          <w:sz w:val="32"/>
          <w:szCs w:val="32"/>
        </w:rPr>
        <w:t xml:space="preserve">La quotazione comporta per le imprese una forte </w:t>
      </w:r>
      <w:r w:rsidRPr="00D53D82">
        <w:rPr>
          <w:rFonts w:ascii="Calibri" w:hAnsi="Calibri" w:cs="Calibri"/>
          <w:b/>
          <w:bCs/>
          <w:sz w:val="32"/>
          <w:szCs w:val="32"/>
        </w:rPr>
        <w:t>responsabilità verso gli investitori e il mercato</w:t>
      </w:r>
      <w:r>
        <w:rPr>
          <w:rFonts w:ascii="Calibri" w:hAnsi="Calibri" w:cs="Calibri"/>
          <w:sz w:val="32"/>
          <w:szCs w:val="32"/>
        </w:rPr>
        <w:t xml:space="preserve"> in termini di trasparenza, comunicazione e condivisione delle scelte strategiche; come:</w:t>
      </w:r>
    </w:p>
    <w:p w14:paraId="4024DB1F" w14:textId="77777777" w:rsidR="00D90309" w:rsidRPr="009940F4" w:rsidRDefault="00D90309" w:rsidP="00D90309">
      <w:pPr>
        <w:pStyle w:val="NormaleWeb"/>
        <w:numPr>
          <w:ilvl w:val="0"/>
          <w:numId w:val="11"/>
        </w:numPr>
        <w:spacing w:before="0" w:beforeAutospacing="0" w:after="0" w:afterAutospacing="0"/>
        <w:rPr>
          <w:rFonts w:ascii="Calibri" w:hAnsi="Calibri" w:cs="Calibri"/>
          <w:sz w:val="32"/>
          <w:szCs w:val="32"/>
        </w:rPr>
      </w:pPr>
      <w:r>
        <w:rPr>
          <w:rFonts w:ascii="Calibri" w:hAnsi="Calibri" w:cs="Calibri"/>
          <w:b/>
          <w:bCs/>
          <w:sz w:val="32"/>
          <w:szCs w:val="32"/>
        </w:rPr>
        <w:t>Creare valore</w:t>
      </w:r>
      <w:r>
        <w:rPr>
          <w:rFonts w:ascii="Calibri" w:hAnsi="Calibri" w:cs="Calibri"/>
          <w:sz w:val="32"/>
          <w:szCs w:val="32"/>
        </w:rPr>
        <w:t>, la creazione di valore per gli azionisti e per i portatori di interesse innesca un circolo virtuoso per la società;</w:t>
      </w:r>
    </w:p>
    <w:p w14:paraId="60F71149" w14:textId="77777777" w:rsidR="00D90309" w:rsidRPr="009940F4" w:rsidRDefault="00D90309" w:rsidP="00D90309">
      <w:pPr>
        <w:pStyle w:val="NormaleWeb"/>
        <w:numPr>
          <w:ilvl w:val="0"/>
          <w:numId w:val="11"/>
        </w:numPr>
        <w:spacing w:before="0" w:beforeAutospacing="0" w:after="0" w:afterAutospacing="0"/>
        <w:rPr>
          <w:rFonts w:ascii="Calibri" w:hAnsi="Calibri" w:cs="Calibri"/>
          <w:sz w:val="32"/>
          <w:szCs w:val="32"/>
        </w:rPr>
      </w:pPr>
      <w:r>
        <w:rPr>
          <w:rFonts w:ascii="Calibri" w:hAnsi="Calibri" w:cs="Calibri"/>
          <w:b/>
          <w:bCs/>
          <w:sz w:val="32"/>
          <w:szCs w:val="32"/>
        </w:rPr>
        <w:t>Garantire trasparenza</w:t>
      </w:r>
      <w:r>
        <w:rPr>
          <w:rFonts w:ascii="Calibri" w:hAnsi="Calibri" w:cs="Calibri"/>
          <w:sz w:val="32"/>
          <w:szCs w:val="32"/>
        </w:rPr>
        <w:t xml:space="preserve">, la trasparenza informativa e la risposta agli obblighi regolamentari, rappresentano un elemento di garanzia per tutti gli stakeholder </w:t>
      </w:r>
      <w:r w:rsidRPr="00F945F0">
        <w:rPr>
          <w:rFonts w:ascii="Calibri" w:hAnsi="Calibri" w:cs="Calibri"/>
          <w:sz w:val="32"/>
          <w:szCs w:val="32"/>
        </w:rPr>
        <w:t>(</w:t>
      </w:r>
      <w:r>
        <w:rPr>
          <w:rFonts w:ascii="Calibri" w:hAnsi="Calibri" w:cs="Calibri"/>
          <w:sz w:val="32"/>
          <w:szCs w:val="32"/>
        </w:rPr>
        <w:t>è un soggetto o un gruppo coinvolto in un’iniziativa economica, società o altro progetto, e con interessi legati all’iniziativa stessa</w:t>
      </w:r>
      <w:r w:rsidRPr="00F945F0">
        <w:rPr>
          <w:rFonts w:ascii="Calibri" w:hAnsi="Calibri" w:cs="Calibri"/>
          <w:sz w:val="32"/>
          <w:szCs w:val="32"/>
        </w:rPr>
        <w:t>)</w:t>
      </w:r>
      <w:r>
        <w:rPr>
          <w:rFonts w:ascii="Calibri" w:hAnsi="Calibri" w:cs="Calibri"/>
          <w:sz w:val="32"/>
          <w:szCs w:val="32"/>
        </w:rPr>
        <w:t>;</w:t>
      </w:r>
    </w:p>
    <w:p w14:paraId="015F0320" w14:textId="77777777" w:rsidR="00D90309" w:rsidRPr="009940F4" w:rsidRDefault="00D90309" w:rsidP="00D90309">
      <w:pPr>
        <w:pStyle w:val="NormaleWeb"/>
        <w:numPr>
          <w:ilvl w:val="0"/>
          <w:numId w:val="11"/>
        </w:numPr>
        <w:spacing w:before="0" w:beforeAutospacing="0" w:after="0" w:afterAutospacing="0"/>
        <w:rPr>
          <w:rFonts w:ascii="Calibri" w:hAnsi="Calibri" w:cs="Calibri"/>
          <w:sz w:val="32"/>
          <w:szCs w:val="32"/>
        </w:rPr>
      </w:pPr>
      <w:r>
        <w:rPr>
          <w:rFonts w:ascii="Calibri" w:hAnsi="Calibri" w:cs="Calibri"/>
          <w:b/>
          <w:bCs/>
          <w:sz w:val="32"/>
          <w:szCs w:val="32"/>
        </w:rPr>
        <w:t>Condividere la strategia</w:t>
      </w:r>
      <w:r>
        <w:rPr>
          <w:rFonts w:ascii="Calibri" w:hAnsi="Calibri" w:cs="Calibri"/>
          <w:sz w:val="32"/>
          <w:szCs w:val="32"/>
        </w:rPr>
        <w:t>, la condivisione delle scelte strategiche con gli investitori permette di creare un dialogo, che dev’essere continuamente alimentato, a beneficio della società stessa;</w:t>
      </w:r>
    </w:p>
    <w:p w14:paraId="1C7CEB5A" w14:textId="5FB39276" w:rsidR="00D90309" w:rsidRDefault="00D90309" w:rsidP="00111ECC">
      <w:pPr>
        <w:pStyle w:val="NormaleWeb"/>
        <w:numPr>
          <w:ilvl w:val="0"/>
          <w:numId w:val="11"/>
        </w:numPr>
        <w:spacing w:before="0" w:beforeAutospacing="0" w:after="0" w:afterAutospacing="0"/>
        <w:rPr>
          <w:rFonts w:ascii="Calibri" w:hAnsi="Calibri" w:cs="Calibri"/>
          <w:sz w:val="32"/>
          <w:szCs w:val="32"/>
        </w:rPr>
      </w:pPr>
      <w:r>
        <w:rPr>
          <w:rFonts w:ascii="Calibri" w:hAnsi="Calibri" w:cs="Calibri"/>
          <w:b/>
          <w:bCs/>
          <w:sz w:val="32"/>
          <w:szCs w:val="32"/>
        </w:rPr>
        <w:t>Adeguare le policy</w:t>
      </w:r>
      <w:r>
        <w:rPr>
          <w:rFonts w:ascii="Calibri" w:hAnsi="Calibri" w:cs="Calibri"/>
          <w:sz w:val="32"/>
          <w:szCs w:val="32"/>
        </w:rPr>
        <w:t>, l’adeguamento alle policy aziendali, permette di rafforzare la struttura interna della società, e di interfacciarsi sul mercato in modo più consapevole.</w:t>
      </w:r>
    </w:p>
    <w:p w14:paraId="5A71A9CA" w14:textId="77777777" w:rsidR="002A4734" w:rsidRPr="002A4734" w:rsidRDefault="002A4734" w:rsidP="002A4734">
      <w:pPr>
        <w:pStyle w:val="NormaleWeb"/>
        <w:spacing w:before="0" w:beforeAutospacing="0" w:after="0" w:afterAutospacing="0"/>
        <w:rPr>
          <w:rFonts w:ascii="Calibri" w:hAnsi="Calibri" w:cs="Calibri"/>
          <w:sz w:val="32"/>
          <w:szCs w:val="32"/>
        </w:rPr>
      </w:pPr>
    </w:p>
    <w:p w14:paraId="65F75DE2" w14:textId="5DD998FE" w:rsidR="002A4734" w:rsidRPr="002A4734" w:rsidRDefault="002A4734" w:rsidP="002A4734">
      <w:pPr>
        <w:pStyle w:val="NormaleWeb"/>
        <w:spacing w:before="0" w:beforeAutospacing="0" w:after="0" w:afterAutospacing="0"/>
        <w:jc w:val="center"/>
        <w:rPr>
          <w:rFonts w:ascii="Calibri" w:hAnsi="Calibri" w:cs="Calibri"/>
          <w:sz w:val="32"/>
          <w:szCs w:val="32"/>
        </w:rPr>
      </w:pPr>
      <w:r>
        <w:rPr>
          <w:noProof/>
        </w:rPr>
        <w:drawing>
          <wp:inline distT="0" distB="0" distL="0" distR="0" wp14:anchorId="7FCF25B5" wp14:editId="74BD884D">
            <wp:extent cx="2849880" cy="2136491"/>
            <wp:effectExtent l="0" t="0" r="0" b="0"/>
            <wp:docPr id="1283879447" name="Immagine 2" descr="Immagine che contiene schermata, Blu intenso, blu,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879447" name="Immagine 2" descr="Immagine che contiene schermata, Blu intenso, blu, Blu elettrico&#10;&#10;Descrizione generata automa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9682" cy="2143839"/>
                    </a:xfrm>
                    <a:prstGeom prst="rect">
                      <a:avLst/>
                    </a:prstGeom>
                    <a:noFill/>
                    <a:ln>
                      <a:noFill/>
                    </a:ln>
                  </pic:spPr>
                </pic:pic>
              </a:graphicData>
            </a:graphic>
          </wp:inline>
        </w:drawing>
      </w:r>
    </w:p>
    <w:p w14:paraId="0291700D" w14:textId="77777777" w:rsidR="00B50326" w:rsidRDefault="00B50326" w:rsidP="003A6534">
      <w:pPr>
        <w:spacing w:after="0" w:line="240" w:lineRule="auto"/>
        <w:rPr>
          <w:rFonts w:ascii="Calibri Light" w:eastAsia="Times New Roman" w:hAnsi="Calibri Light" w:cs="Calibri Light"/>
          <w:b/>
          <w:bCs/>
          <w:color w:val="FF0000"/>
          <w:sz w:val="48"/>
          <w:szCs w:val="48"/>
        </w:rPr>
      </w:pPr>
      <w:r w:rsidRPr="00F107AE">
        <w:rPr>
          <w:rFonts w:ascii="Calibri Light" w:eastAsia="Times New Roman" w:hAnsi="Calibri Light" w:cs="Calibri Light"/>
          <w:b/>
          <w:bCs/>
          <w:color w:val="FF0000"/>
          <w:sz w:val="48"/>
          <w:szCs w:val="48"/>
        </w:rPr>
        <w:lastRenderedPageBreak/>
        <w:t>Borsa e finanza sostenibile</w:t>
      </w:r>
    </w:p>
    <w:p w14:paraId="43F859E5" w14:textId="77777777" w:rsidR="003A6534" w:rsidRPr="003A6534" w:rsidRDefault="003A6534" w:rsidP="003A6534">
      <w:pPr>
        <w:spacing w:after="0" w:line="240" w:lineRule="auto"/>
        <w:rPr>
          <w:rFonts w:ascii="Calibri Light" w:eastAsia="Times New Roman" w:hAnsi="Calibri Light" w:cs="Calibri Light"/>
          <w:color w:val="FF0000"/>
          <w:sz w:val="32"/>
          <w:szCs w:val="32"/>
        </w:rPr>
      </w:pPr>
    </w:p>
    <w:p w14:paraId="20845F44" w14:textId="77777777" w:rsidR="00B50326" w:rsidRDefault="00B50326" w:rsidP="003A6534">
      <w:p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color w:val="111111"/>
          <w:sz w:val="32"/>
          <w:szCs w:val="32"/>
        </w:rPr>
        <w:t>Per "</w:t>
      </w:r>
      <w:r w:rsidRPr="00302D6E">
        <w:rPr>
          <w:rFonts w:ascii="Calibri" w:eastAsiaTheme="minorEastAsia" w:hAnsi="Calibri" w:cs="Calibri"/>
          <w:b/>
          <w:bCs/>
          <w:color w:val="111111"/>
          <w:sz w:val="32"/>
          <w:szCs w:val="32"/>
        </w:rPr>
        <w:t>finanza sostenibile</w:t>
      </w:r>
      <w:r w:rsidRPr="00302D6E">
        <w:rPr>
          <w:rFonts w:ascii="Calibri" w:eastAsiaTheme="minorEastAsia" w:hAnsi="Calibri" w:cs="Calibri"/>
          <w:color w:val="111111"/>
          <w:sz w:val="32"/>
          <w:szCs w:val="32"/>
        </w:rPr>
        <w:t xml:space="preserve">" si intende la finanza che tiene in considerazione fattori di tipo </w:t>
      </w:r>
      <w:r w:rsidRPr="00302D6E">
        <w:rPr>
          <w:rFonts w:ascii="Calibri" w:eastAsiaTheme="minorEastAsia" w:hAnsi="Calibri" w:cs="Calibri"/>
          <w:color w:val="111111"/>
          <w:sz w:val="32"/>
          <w:szCs w:val="32"/>
          <w:u w:val="single"/>
        </w:rPr>
        <w:t>ambientale</w:t>
      </w:r>
      <w:r w:rsidRPr="00302D6E">
        <w:rPr>
          <w:rFonts w:ascii="Calibri" w:eastAsiaTheme="minorEastAsia" w:hAnsi="Calibri" w:cs="Calibri"/>
          <w:color w:val="111111"/>
          <w:sz w:val="32"/>
          <w:szCs w:val="32"/>
        </w:rPr>
        <w:t xml:space="preserve"> (Environmental), </w:t>
      </w:r>
      <w:r w:rsidRPr="00302D6E">
        <w:rPr>
          <w:rFonts w:ascii="Calibri" w:eastAsiaTheme="minorEastAsia" w:hAnsi="Calibri" w:cs="Calibri"/>
          <w:color w:val="111111"/>
          <w:sz w:val="32"/>
          <w:szCs w:val="32"/>
          <w:u w:val="single"/>
        </w:rPr>
        <w:t>sociale</w:t>
      </w:r>
      <w:r w:rsidRPr="00302D6E">
        <w:rPr>
          <w:rFonts w:ascii="Calibri" w:eastAsiaTheme="minorEastAsia" w:hAnsi="Calibri" w:cs="Calibri"/>
          <w:color w:val="111111"/>
          <w:sz w:val="32"/>
          <w:szCs w:val="32"/>
        </w:rPr>
        <w:t xml:space="preserve"> (Social) e di </w:t>
      </w:r>
      <w:r w:rsidRPr="00302D6E">
        <w:rPr>
          <w:rFonts w:ascii="Calibri" w:eastAsiaTheme="minorEastAsia" w:hAnsi="Calibri" w:cs="Calibri"/>
          <w:color w:val="111111"/>
          <w:sz w:val="32"/>
          <w:szCs w:val="32"/>
          <w:u w:val="single"/>
        </w:rPr>
        <w:t>governo societario</w:t>
      </w:r>
      <w:r w:rsidRPr="00302D6E">
        <w:rPr>
          <w:rFonts w:ascii="Calibri" w:eastAsiaTheme="minorEastAsia" w:hAnsi="Calibri" w:cs="Calibri"/>
          <w:color w:val="111111"/>
          <w:sz w:val="32"/>
          <w:szCs w:val="32"/>
        </w:rPr>
        <w:t xml:space="preserve"> (Governance), i cosiddetti fattori </w:t>
      </w:r>
      <w:r w:rsidRPr="00302D6E">
        <w:rPr>
          <w:rFonts w:ascii="Calibri" w:eastAsiaTheme="minorEastAsia" w:hAnsi="Calibri" w:cs="Calibri"/>
          <w:b/>
          <w:bCs/>
          <w:color w:val="111111"/>
          <w:sz w:val="32"/>
          <w:szCs w:val="32"/>
        </w:rPr>
        <w:t>ESG</w:t>
      </w:r>
      <w:r w:rsidRPr="00302D6E">
        <w:rPr>
          <w:rFonts w:ascii="Calibri" w:eastAsiaTheme="minorEastAsia" w:hAnsi="Calibri" w:cs="Calibri"/>
          <w:color w:val="111111"/>
          <w:sz w:val="32"/>
          <w:szCs w:val="32"/>
        </w:rPr>
        <w:t xml:space="preserve">, nel processo decisionale di investimento, indirizzando i capitali verso attività e progetti sostenibili a più lungo termine. La finanza sostenibile è dunque l'applicazione del concetto di </w:t>
      </w:r>
      <w:hyperlink r:id="rId13" w:history="1">
        <w:r w:rsidRPr="00302D6E">
          <w:rPr>
            <w:rStyle w:val="Collegamentoipertestuale"/>
            <w:rFonts w:ascii="Calibri" w:eastAsiaTheme="minorEastAsia" w:hAnsi="Calibri" w:cs="Calibri"/>
            <w:color w:val="111111"/>
            <w:sz w:val="32"/>
            <w:szCs w:val="32"/>
          </w:rPr>
          <w:t xml:space="preserve">sviluppo sostenibile </w:t>
        </w:r>
      </w:hyperlink>
      <w:r w:rsidRPr="00302D6E">
        <w:rPr>
          <w:rFonts w:ascii="Calibri" w:eastAsiaTheme="minorEastAsia" w:hAnsi="Calibri" w:cs="Calibri"/>
          <w:color w:val="111111"/>
          <w:sz w:val="32"/>
          <w:szCs w:val="32"/>
        </w:rPr>
        <w:t xml:space="preserve">all'attività finanziaria. </w:t>
      </w:r>
    </w:p>
    <w:p w14:paraId="682C0A7B" w14:textId="77777777" w:rsidR="00182764" w:rsidRDefault="00182764" w:rsidP="003A6534">
      <w:pPr>
        <w:shd w:val="clear" w:color="auto" w:fill="FFFFFF" w:themeFill="background1"/>
        <w:spacing w:after="0" w:line="240" w:lineRule="auto"/>
        <w:rPr>
          <w:rFonts w:ascii="Calibri" w:eastAsiaTheme="minorEastAsia" w:hAnsi="Calibri" w:cs="Calibri"/>
          <w:color w:val="111111"/>
          <w:sz w:val="32"/>
          <w:szCs w:val="32"/>
        </w:rPr>
      </w:pPr>
    </w:p>
    <w:p w14:paraId="1147848E" w14:textId="47FA4B6A" w:rsidR="00B50326" w:rsidRPr="00182764" w:rsidRDefault="00B50326" w:rsidP="003A6534">
      <w:pPr>
        <w:shd w:val="clear" w:color="auto" w:fill="FFFFFF" w:themeFill="background1"/>
        <w:spacing w:after="0" w:line="240" w:lineRule="auto"/>
        <w:rPr>
          <w:rFonts w:asciiTheme="majorHAnsi" w:eastAsiaTheme="minorEastAsia" w:hAnsiTheme="majorHAnsi" w:cs="Calibri"/>
          <w:color w:val="111111"/>
          <w:sz w:val="40"/>
          <w:szCs w:val="40"/>
        </w:rPr>
      </w:pPr>
      <w:r w:rsidRPr="00182764">
        <w:rPr>
          <w:rFonts w:asciiTheme="majorHAnsi" w:eastAsiaTheme="minorEastAsia" w:hAnsiTheme="majorHAnsi" w:cs="Calibri"/>
          <w:color w:val="111111"/>
          <w:sz w:val="40"/>
          <w:szCs w:val="40"/>
        </w:rPr>
        <w:t xml:space="preserve">Cosa sono più in dettaglio i fattori ESG? </w:t>
      </w:r>
    </w:p>
    <w:p w14:paraId="60E428AA" w14:textId="77777777" w:rsidR="00182764" w:rsidRDefault="00182764" w:rsidP="003A6534">
      <w:pPr>
        <w:shd w:val="clear" w:color="auto" w:fill="FFFFFF" w:themeFill="background1"/>
        <w:spacing w:after="0" w:line="240" w:lineRule="auto"/>
        <w:rPr>
          <w:rFonts w:ascii="Calibri" w:eastAsiaTheme="minorEastAsia" w:hAnsi="Calibri" w:cs="Calibri"/>
          <w:color w:val="111111"/>
          <w:sz w:val="32"/>
          <w:szCs w:val="32"/>
        </w:rPr>
      </w:pPr>
    </w:p>
    <w:p w14:paraId="63FF4D25" w14:textId="61588717" w:rsidR="00EA247D" w:rsidRDefault="00B50326" w:rsidP="003A6534">
      <w:p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color w:val="111111"/>
          <w:sz w:val="32"/>
          <w:szCs w:val="32"/>
        </w:rPr>
        <w:t xml:space="preserve">I fattori di tipo ambientale includono questioni come quelle della mitigazione dei cambiamenti climatici e della transizione verso la </w:t>
      </w:r>
      <w:hyperlink r:id="rId14" w:history="1">
        <w:r w:rsidRPr="00302D6E">
          <w:rPr>
            <w:rStyle w:val="Collegamentoipertestuale"/>
            <w:rFonts w:ascii="Calibri" w:eastAsiaTheme="minorEastAsia" w:hAnsi="Calibri" w:cs="Calibri"/>
            <w:color w:val="111111"/>
            <w:sz w:val="32"/>
            <w:szCs w:val="32"/>
          </w:rPr>
          <w:t>neutralità climatica</w:t>
        </w:r>
      </w:hyperlink>
      <w:r w:rsidRPr="00302D6E">
        <w:rPr>
          <w:rFonts w:ascii="Calibri" w:eastAsiaTheme="minorEastAsia" w:hAnsi="Calibri" w:cs="Calibri"/>
          <w:color w:val="111111"/>
          <w:sz w:val="32"/>
          <w:szCs w:val="32"/>
        </w:rPr>
        <w:t>, cioè verso un'economia a emissioni zero, così come temi relativi alla salvaguardia della biodiversità, alla prevenzione dell'inquinamento e all'economia circolare. I fattori di tipo sociale si riferiscono a questioni relative alle disuguaglianze e all'inclusione, alle relazioni di lavoro, agli investimenti in formazione e al benessere della collettività nonché al rispetto dei diritti umani. Infine, il governo societario delle istituzioni pubbliche e private ha un ruolo fondamentale nell'assicurare che considerazioni di tipo sociale e ambientale entrino nei loro processi decisionali</w:t>
      </w:r>
      <w:r w:rsidR="00EA247D">
        <w:rPr>
          <w:rFonts w:ascii="Calibri" w:eastAsiaTheme="minorEastAsia" w:hAnsi="Calibri" w:cs="Calibri"/>
          <w:color w:val="111111"/>
          <w:sz w:val="32"/>
          <w:szCs w:val="32"/>
        </w:rPr>
        <w:t>;</w:t>
      </w:r>
      <w:r w:rsidRPr="00302D6E">
        <w:rPr>
          <w:rFonts w:ascii="Calibri" w:eastAsiaTheme="minorEastAsia" w:hAnsi="Calibri" w:cs="Calibri"/>
          <w:color w:val="111111"/>
          <w:sz w:val="32"/>
          <w:szCs w:val="32"/>
        </w:rPr>
        <w:t xml:space="preserve"> </w:t>
      </w:r>
      <w:r w:rsidR="00511E66" w:rsidRPr="00302D6E">
        <w:rPr>
          <w:rFonts w:ascii="Calibri" w:eastAsiaTheme="minorEastAsia" w:hAnsi="Calibri" w:cs="Calibri"/>
          <w:color w:val="111111"/>
          <w:sz w:val="32"/>
          <w:szCs w:val="32"/>
        </w:rPr>
        <w:t>ad esempio,</w:t>
      </w:r>
      <w:r w:rsidRPr="00302D6E">
        <w:rPr>
          <w:rFonts w:ascii="Calibri" w:eastAsiaTheme="minorEastAsia" w:hAnsi="Calibri" w:cs="Calibri"/>
          <w:color w:val="111111"/>
          <w:sz w:val="32"/>
          <w:szCs w:val="32"/>
        </w:rPr>
        <w:t xml:space="preserve"> attraverso le politiche di diversità nella composizione degli organi di amministrazione, la presenza di consiglieri indipendenti o le modalità di remunerazione dei dirigenti. </w:t>
      </w:r>
    </w:p>
    <w:p w14:paraId="7FB505B0" w14:textId="0AB1D9DB" w:rsidR="00B50326" w:rsidRDefault="00B50326" w:rsidP="003A6534">
      <w:pPr>
        <w:shd w:val="clear" w:color="auto" w:fill="FFFFFF" w:themeFill="background1"/>
        <w:spacing w:after="0" w:line="240" w:lineRule="auto"/>
        <w:rPr>
          <w:rFonts w:ascii="Calibri" w:eastAsiaTheme="minorEastAsia" w:hAnsi="Calibri" w:cs="Calibri"/>
          <w:color w:val="111111"/>
          <w:sz w:val="32"/>
          <w:szCs w:val="32"/>
        </w:rPr>
      </w:pPr>
      <w:r w:rsidRPr="00302D6E">
        <w:rPr>
          <w:rFonts w:ascii="Calibri" w:eastAsiaTheme="minorEastAsia" w:hAnsi="Calibri" w:cs="Calibri"/>
          <w:color w:val="111111"/>
          <w:sz w:val="32"/>
          <w:szCs w:val="32"/>
        </w:rPr>
        <w:t xml:space="preserve">Fare un investimento finanziario che tenga conto dei fattori ESG significa quindi investire in imprese che compiono scelte aziendali sostenibili, coerenti con i </w:t>
      </w:r>
      <w:hyperlink r:id="rId15" w:history="1">
        <w:r w:rsidRPr="00302D6E">
          <w:rPr>
            <w:rStyle w:val="Collegamentoipertestuale"/>
            <w:rFonts w:ascii="Calibri" w:eastAsiaTheme="minorEastAsia" w:hAnsi="Calibri" w:cs="Calibri"/>
            <w:color w:val="111111"/>
            <w:sz w:val="32"/>
            <w:szCs w:val="32"/>
          </w:rPr>
          <w:t>principi del Global Compact delle Nazioni Unite</w:t>
        </w:r>
      </w:hyperlink>
      <w:r w:rsidRPr="00302D6E">
        <w:rPr>
          <w:rFonts w:ascii="Calibri" w:eastAsiaTheme="minorEastAsia" w:hAnsi="Calibri" w:cs="Calibri"/>
          <w:color w:val="111111"/>
          <w:sz w:val="32"/>
          <w:szCs w:val="32"/>
        </w:rPr>
        <w:t xml:space="preserve">, relativi a diritti umani, standard lavorativi, tutela dell'ambiente e lotta alla corruzione, gli </w:t>
      </w:r>
      <w:hyperlink r:id="rId16" w:history="1">
        <w:r w:rsidRPr="00302D6E">
          <w:rPr>
            <w:rStyle w:val="Collegamentoipertestuale"/>
            <w:rFonts w:ascii="Calibri" w:eastAsiaTheme="minorEastAsia" w:hAnsi="Calibri" w:cs="Calibri"/>
            <w:color w:val="111111"/>
            <w:sz w:val="32"/>
            <w:szCs w:val="32"/>
          </w:rPr>
          <w:t>obiettivi dell'Agenda 2030 delle Nazioni Unite</w:t>
        </w:r>
      </w:hyperlink>
      <w:r w:rsidRPr="00302D6E">
        <w:rPr>
          <w:rFonts w:ascii="Calibri" w:eastAsiaTheme="minorEastAsia" w:hAnsi="Calibri" w:cs="Calibri"/>
          <w:color w:val="111111"/>
          <w:sz w:val="32"/>
          <w:szCs w:val="32"/>
        </w:rPr>
        <w:t xml:space="preserve"> per lo sviluppo sostenibile e dell'</w:t>
      </w:r>
      <w:hyperlink r:id="rId17" w:history="1">
        <w:r w:rsidRPr="00302D6E">
          <w:rPr>
            <w:rStyle w:val="Collegamentoipertestuale"/>
            <w:rFonts w:ascii="Calibri" w:eastAsiaTheme="minorEastAsia" w:hAnsi="Calibri" w:cs="Calibri"/>
            <w:color w:val="111111"/>
            <w:sz w:val="32"/>
            <w:szCs w:val="32"/>
          </w:rPr>
          <w:t>Accordo di Parigi</w:t>
        </w:r>
      </w:hyperlink>
      <w:r w:rsidRPr="00302D6E">
        <w:rPr>
          <w:rFonts w:ascii="Calibri" w:eastAsiaTheme="minorEastAsia" w:hAnsi="Calibri" w:cs="Calibri"/>
          <w:color w:val="111111"/>
          <w:sz w:val="32"/>
          <w:szCs w:val="32"/>
        </w:rPr>
        <w:t xml:space="preserve"> sui cambiamenti climatici.</w:t>
      </w:r>
    </w:p>
    <w:p w14:paraId="789068E0" w14:textId="77777777" w:rsidR="00F71B80" w:rsidRDefault="00F71B80" w:rsidP="003A6534">
      <w:pPr>
        <w:shd w:val="clear" w:color="auto" w:fill="FFFFFF" w:themeFill="background1"/>
        <w:spacing w:after="0" w:line="240" w:lineRule="auto"/>
        <w:rPr>
          <w:rFonts w:ascii="Calibri" w:eastAsiaTheme="minorEastAsia" w:hAnsi="Calibri" w:cs="Calibri"/>
          <w:color w:val="111111"/>
          <w:sz w:val="32"/>
          <w:szCs w:val="32"/>
        </w:rPr>
      </w:pPr>
    </w:p>
    <w:p w14:paraId="431390A2" w14:textId="0D093288" w:rsidR="00F71B80" w:rsidRDefault="00F71B80" w:rsidP="00F71B80">
      <w:pPr>
        <w:shd w:val="clear" w:color="auto" w:fill="FFFFFF" w:themeFill="background1"/>
        <w:spacing w:after="0" w:line="240" w:lineRule="auto"/>
        <w:jc w:val="center"/>
        <w:rPr>
          <w:rFonts w:ascii="Calibri" w:eastAsiaTheme="minorEastAsia" w:hAnsi="Calibri" w:cs="Calibri"/>
          <w:color w:val="111111"/>
          <w:sz w:val="32"/>
          <w:szCs w:val="32"/>
        </w:rPr>
      </w:pPr>
      <w:r>
        <w:rPr>
          <w:noProof/>
        </w:rPr>
        <w:lastRenderedPageBreak/>
        <w:drawing>
          <wp:inline distT="0" distB="0" distL="0" distR="0" wp14:anchorId="34E43B23" wp14:editId="1A39E332">
            <wp:extent cx="2904815" cy="1699260"/>
            <wp:effectExtent l="0" t="0" r="0" b="0"/>
            <wp:docPr id="1403356426" name="Immagine 8" descr="Il nostro impegno per le pratiche ESG | Crealis leader in closure solu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l nostro impegno per le pratiche ESG | Crealis leader in closure solution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04815" cy="1699260"/>
                    </a:xfrm>
                    <a:prstGeom prst="rect">
                      <a:avLst/>
                    </a:prstGeom>
                    <a:noFill/>
                    <a:ln>
                      <a:noFill/>
                    </a:ln>
                  </pic:spPr>
                </pic:pic>
              </a:graphicData>
            </a:graphic>
          </wp:inline>
        </w:drawing>
      </w:r>
    </w:p>
    <w:p w14:paraId="2132BDC0" w14:textId="77777777" w:rsidR="00EA247D" w:rsidRPr="00302D6E" w:rsidRDefault="00EA247D" w:rsidP="003A6534">
      <w:pPr>
        <w:shd w:val="clear" w:color="auto" w:fill="FFFFFF" w:themeFill="background1"/>
        <w:spacing w:after="0" w:line="240" w:lineRule="auto"/>
        <w:rPr>
          <w:rFonts w:ascii="Calibri" w:eastAsiaTheme="minorEastAsia" w:hAnsi="Calibri" w:cs="Calibri"/>
          <w:color w:val="111111"/>
          <w:sz w:val="32"/>
          <w:szCs w:val="32"/>
        </w:rPr>
      </w:pPr>
    </w:p>
    <w:p w14:paraId="5EA8236D" w14:textId="77777777" w:rsidR="00B50326" w:rsidRPr="00302D6E" w:rsidRDefault="00B50326" w:rsidP="003A6534">
      <w:pPr>
        <w:shd w:val="clear" w:color="auto" w:fill="FFFFFF" w:themeFill="background1"/>
        <w:spacing w:after="0" w:line="240" w:lineRule="auto"/>
        <w:rPr>
          <w:rFonts w:ascii="Calibri" w:hAnsi="Calibri" w:cs="Calibri"/>
          <w:sz w:val="32"/>
          <w:szCs w:val="32"/>
        </w:rPr>
      </w:pPr>
      <w:r w:rsidRPr="00302D6E">
        <w:rPr>
          <w:rFonts w:ascii="Calibri" w:eastAsia="Roboto" w:hAnsi="Calibri" w:cs="Calibri"/>
          <w:color w:val="111111"/>
          <w:sz w:val="32"/>
          <w:szCs w:val="32"/>
        </w:rPr>
        <w:t xml:space="preserve">La </w:t>
      </w:r>
      <w:r w:rsidRPr="00302D6E">
        <w:rPr>
          <w:rFonts w:ascii="Calibri" w:eastAsia="Roboto" w:hAnsi="Calibri" w:cs="Calibri"/>
          <w:b/>
          <w:bCs/>
          <w:color w:val="111111"/>
          <w:sz w:val="32"/>
          <w:szCs w:val="32"/>
        </w:rPr>
        <w:t>finanza sostenibile</w:t>
      </w:r>
      <w:r w:rsidRPr="00302D6E">
        <w:rPr>
          <w:rFonts w:ascii="Calibri" w:eastAsia="Roboto" w:hAnsi="Calibri" w:cs="Calibri"/>
          <w:color w:val="111111"/>
          <w:sz w:val="32"/>
          <w:szCs w:val="32"/>
        </w:rPr>
        <w:t xml:space="preserve"> è un tema di grande rilevanza nei mercati finanziari, e la </w:t>
      </w:r>
      <w:r w:rsidRPr="00302D6E">
        <w:rPr>
          <w:rFonts w:ascii="Calibri" w:eastAsia="Roboto" w:hAnsi="Calibri" w:cs="Calibri"/>
          <w:b/>
          <w:bCs/>
          <w:color w:val="111111"/>
          <w:sz w:val="32"/>
          <w:szCs w:val="32"/>
        </w:rPr>
        <w:t>Borsa Italiana</w:t>
      </w:r>
      <w:r w:rsidRPr="00302D6E">
        <w:rPr>
          <w:rFonts w:ascii="Calibri" w:eastAsia="Roboto" w:hAnsi="Calibri" w:cs="Calibri"/>
          <w:color w:val="111111"/>
          <w:sz w:val="32"/>
          <w:szCs w:val="32"/>
        </w:rPr>
        <w:t xml:space="preserve"> ha adottato diverse iniziative per promuoverla. Ecco alcune informazioni utili:</w:t>
      </w:r>
    </w:p>
    <w:p w14:paraId="7363FB6A" w14:textId="77777777" w:rsidR="00B50326" w:rsidRPr="00302D6E" w:rsidRDefault="00B50326" w:rsidP="003A6534">
      <w:pPr>
        <w:pStyle w:val="Paragrafoelenco"/>
        <w:numPr>
          <w:ilvl w:val="0"/>
          <w:numId w:val="4"/>
        </w:numPr>
        <w:shd w:val="clear" w:color="auto" w:fill="FFFFFF" w:themeFill="background1"/>
        <w:spacing w:after="0" w:line="240" w:lineRule="auto"/>
        <w:rPr>
          <w:rFonts w:ascii="Calibri" w:eastAsia="Roboto" w:hAnsi="Calibri" w:cs="Calibri"/>
          <w:color w:val="111111"/>
          <w:sz w:val="32"/>
          <w:szCs w:val="32"/>
        </w:rPr>
      </w:pPr>
      <w:r w:rsidRPr="00302D6E">
        <w:rPr>
          <w:rFonts w:ascii="Calibri" w:eastAsia="Roboto" w:hAnsi="Calibri" w:cs="Calibri"/>
          <w:b/>
          <w:bCs/>
          <w:color w:val="111111"/>
          <w:sz w:val="32"/>
          <w:szCs w:val="32"/>
        </w:rPr>
        <w:t>Finanza Sostenibile - Borsa Italiana</w:t>
      </w:r>
      <w:r w:rsidRPr="00302D6E">
        <w:rPr>
          <w:rFonts w:ascii="Calibri" w:eastAsia="Roboto" w:hAnsi="Calibri" w:cs="Calibri"/>
          <w:color w:val="111111"/>
          <w:sz w:val="32"/>
          <w:szCs w:val="32"/>
        </w:rPr>
        <w:t>:</w:t>
      </w:r>
    </w:p>
    <w:p w14:paraId="5DB10426" w14:textId="77777777" w:rsidR="00B50326" w:rsidRPr="00302D6E" w:rsidRDefault="00B50326" w:rsidP="003A6534">
      <w:pPr>
        <w:pStyle w:val="Paragrafoelenco"/>
        <w:numPr>
          <w:ilvl w:val="1"/>
          <w:numId w:val="5"/>
        </w:numPr>
        <w:shd w:val="clear" w:color="auto" w:fill="FFFFFF" w:themeFill="background1"/>
        <w:tabs>
          <w:tab w:val="left" w:pos="0"/>
          <w:tab w:val="left" w:pos="1440"/>
        </w:tabs>
        <w:spacing w:after="0" w:line="240" w:lineRule="auto"/>
        <w:rPr>
          <w:rFonts w:ascii="Calibri" w:eastAsia="Roboto" w:hAnsi="Calibri" w:cs="Calibri"/>
          <w:color w:val="111111"/>
          <w:sz w:val="32"/>
          <w:szCs w:val="32"/>
        </w:rPr>
      </w:pPr>
      <w:r w:rsidRPr="00302D6E">
        <w:rPr>
          <w:rFonts w:ascii="Calibri" w:eastAsia="Roboto" w:hAnsi="Calibri" w:cs="Calibri"/>
          <w:color w:val="111111"/>
          <w:sz w:val="32"/>
          <w:szCs w:val="32"/>
        </w:rPr>
        <w:t xml:space="preserve">La Borsa Italiana offre un’ampia gamma di </w:t>
      </w:r>
      <w:r w:rsidRPr="00302D6E">
        <w:rPr>
          <w:rFonts w:ascii="Calibri" w:eastAsia="Roboto" w:hAnsi="Calibri" w:cs="Calibri"/>
          <w:b/>
          <w:bCs/>
          <w:color w:val="111111"/>
          <w:sz w:val="32"/>
          <w:szCs w:val="32"/>
        </w:rPr>
        <w:t>strumenti finanziari sostenibili</w:t>
      </w:r>
      <w:r w:rsidRPr="00302D6E">
        <w:rPr>
          <w:rFonts w:ascii="Calibri" w:eastAsia="Roboto" w:hAnsi="Calibri" w:cs="Calibri"/>
          <w:color w:val="111111"/>
          <w:sz w:val="32"/>
          <w:szCs w:val="32"/>
        </w:rPr>
        <w:t xml:space="preserve"> quotati e negoziati sui suoi mercati. </w:t>
      </w:r>
      <w:hyperlink r:id="rId19" w:history="1">
        <w:r w:rsidRPr="00302D6E">
          <w:rPr>
            <w:rStyle w:val="Collegamentoipertestuale"/>
            <w:rFonts w:ascii="Calibri" w:eastAsiaTheme="minorEastAsia" w:hAnsi="Calibri" w:cs="Calibri"/>
            <w:color w:val="111111"/>
            <w:sz w:val="32"/>
            <w:szCs w:val="32"/>
          </w:rPr>
          <w:t>Questi strumenti sono progettati per soddisfare le esigenze degli investitori che integrano la sostenibilità nelle loro decisioni di investimento</w:t>
        </w:r>
      </w:hyperlink>
      <w:r w:rsidRPr="00302D6E">
        <w:rPr>
          <w:rFonts w:ascii="Calibri" w:eastAsiaTheme="minorEastAsia" w:hAnsi="Calibri" w:cs="Calibri"/>
          <w:color w:val="111111"/>
          <w:sz w:val="32"/>
          <w:szCs w:val="32"/>
        </w:rPr>
        <w:t>.</w:t>
      </w:r>
    </w:p>
    <w:p w14:paraId="6AF8FC58" w14:textId="77777777" w:rsidR="00B50326" w:rsidRPr="00302D6E" w:rsidRDefault="00B50326" w:rsidP="003A6534">
      <w:pPr>
        <w:pStyle w:val="Paragrafoelenco"/>
        <w:numPr>
          <w:ilvl w:val="1"/>
          <w:numId w:val="5"/>
        </w:numPr>
        <w:shd w:val="clear" w:color="auto" w:fill="FFFFFF" w:themeFill="background1"/>
        <w:tabs>
          <w:tab w:val="left" w:pos="0"/>
          <w:tab w:val="left" w:pos="1440"/>
        </w:tabs>
        <w:spacing w:after="0" w:line="240" w:lineRule="auto"/>
        <w:rPr>
          <w:rFonts w:ascii="Calibri" w:eastAsia="Roboto" w:hAnsi="Calibri" w:cs="Calibri"/>
          <w:color w:val="111111"/>
          <w:sz w:val="32"/>
          <w:szCs w:val="32"/>
        </w:rPr>
      </w:pPr>
      <w:r w:rsidRPr="00302D6E">
        <w:rPr>
          <w:rFonts w:ascii="Calibri" w:eastAsiaTheme="minorEastAsia" w:hAnsi="Calibri" w:cs="Calibri"/>
          <w:color w:val="111111"/>
          <w:sz w:val="32"/>
          <w:szCs w:val="32"/>
        </w:rPr>
        <w:t>Tra i vari strumenti, ci sono i Green Bond, i Social Bond e i Sustainable Bond, che promuovono progetti a impatto positivo su</w:t>
      </w:r>
      <w:r w:rsidRPr="00302D6E">
        <w:rPr>
          <w:rFonts w:ascii="Calibri" w:eastAsia="Roboto" w:hAnsi="Calibri" w:cs="Calibri"/>
          <w:color w:val="111111"/>
          <w:sz w:val="32"/>
          <w:szCs w:val="32"/>
        </w:rPr>
        <w:t>ll’ambiente e sulla società.</w:t>
      </w:r>
    </w:p>
    <w:p w14:paraId="6CF5B44D" w14:textId="77777777" w:rsidR="00B50326" w:rsidRPr="00302D6E" w:rsidRDefault="00000000" w:rsidP="003A6534">
      <w:pPr>
        <w:pStyle w:val="Paragrafoelenco"/>
        <w:numPr>
          <w:ilvl w:val="1"/>
          <w:numId w:val="5"/>
        </w:numPr>
        <w:shd w:val="clear" w:color="auto" w:fill="FFFFFF" w:themeFill="background1"/>
        <w:tabs>
          <w:tab w:val="left" w:pos="0"/>
          <w:tab w:val="left" w:pos="1440"/>
        </w:tabs>
        <w:spacing w:after="0" w:line="240" w:lineRule="auto"/>
        <w:rPr>
          <w:rFonts w:ascii="Calibri" w:eastAsiaTheme="minorEastAsia" w:hAnsi="Calibri" w:cs="Calibri"/>
          <w:color w:val="111111"/>
          <w:sz w:val="32"/>
          <w:szCs w:val="32"/>
        </w:rPr>
      </w:pPr>
      <w:hyperlink r:id="rId20" w:history="1">
        <w:r w:rsidR="00B50326" w:rsidRPr="00302D6E">
          <w:rPr>
            <w:rStyle w:val="Collegamentoipertestuale"/>
            <w:rFonts w:ascii="Calibri" w:eastAsiaTheme="minorEastAsia" w:hAnsi="Calibri" w:cs="Calibri"/>
            <w:color w:val="111111"/>
            <w:sz w:val="32"/>
            <w:szCs w:val="32"/>
          </w:rPr>
          <w:t>Inoltre, la Borsa Italiana fornisce analisi e statistiche sulla finanza sostenibile, consentendo agli investitori di prendere decisioni informate</w:t>
        </w:r>
      </w:hyperlink>
      <w:r w:rsidR="00B50326" w:rsidRPr="00302D6E">
        <w:rPr>
          <w:rFonts w:ascii="Calibri" w:eastAsiaTheme="minorEastAsia" w:hAnsi="Calibri" w:cs="Calibri"/>
          <w:color w:val="111111"/>
          <w:sz w:val="32"/>
          <w:szCs w:val="32"/>
        </w:rPr>
        <w:t>.</w:t>
      </w:r>
    </w:p>
    <w:p w14:paraId="2912E363" w14:textId="77777777" w:rsidR="00B50326" w:rsidRPr="00302D6E" w:rsidRDefault="00B50326" w:rsidP="003A6534">
      <w:pPr>
        <w:pStyle w:val="Paragrafoelenco"/>
        <w:numPr>
          <w:ilvl w:val="0"/>
          <w:numId w:val="4"/>
        </w:numPr>
        <w:shd w:val="clear" w:color="auto" w:fill="FFFFFF" w:themeFill="background1"/>
        <w:spacing w:after="0" w:line="240" w:lineRule="auto"/>
        <w:rPr>
          <w:rFonts w:ascii="Calibri" w:eastAsia="Roboto" w:hAnsi="Calibri" w:cs="Calibri"/>
          <w:color w:val="111111"/>
          <w:sz w:val="32"/>
          <w:szCs w:val="32"/>
        </w:rPr>
      </w:pPr>
      <w:r w:rsidRPr="00302D6E">
        <w:rPr>
          <w:rFonts w:ascii="Calibri" w:eastAsia="Roboto" w:hAnsi="Calibri" w:cs="Calibri"/>
          <w:b/>
          <w:bCs/>
          <w:color w:val="111111"/>
          <w:sz w:val="32"/>
          <w:szCs w:val="32"/>
        </w:rPr>
        <w:t>Sustainable Finance Partnership</w:t>
      </w:r>
      <w:r w:rsidRPr="00302D6E">
        <w:rPr>
          <w:rFonts w:ascii="Calibri" w:eastAsia="Roboto" w:hAnsi="Calibri" w:cs="Calibri"/>
          <w:color w:val="111111"/>
          <w:sz w:val="32"/>
          <w:szCs w:val="32"/>
        </w:rPr>
        <w:t>:</w:t>
      </w:r>
    </w:p>
    <w:p w14:paraId="54AA18B7" w14:textId="77777777" w:rsidR="00B50326" w:rsidRPr="00302D6E" w:rsidRDefault="00B50326" w:rsidP="003A6534">
      <w:pPr>
        <w:pStyle w:val="Paragrafoelenco"/>
        <w:numPr>
          <w:ilvl w:val="1"/>
          <w:numId w:val="5"/>
        </w:numPr>
        <w:shd w:val="clear" w:color="auto" w:fill="FFFFFF" w:themeFill="background1"/>
        <w:tabs>
          <w:tab w:val="left" w:pos="0"/>
          <w:tab w:val="left" w:pos="1440"/>
        </w:tabs>
        <w:spacing w:after="0" w:line="240" w:lineRule="auto"/>
        <w:rPr>
          <w:rFonts w:ascii="Calibri" w:eastAsiaTheme="minorEastAsia" w:hAnsi="Calibri" w:cs="Calibri"/>
          <w:color w:val="111111"/>
          <w:sz w:val="32"/>
          <w:szCs w:val="32"/>
        </w:rPr>
      </w:pPr>
      <w:r w:rsidRPr="00302D6E">
        <w:rPr>
          <w:rFonts w:ascii="Calibri" w:eastAsia="Roboto" w:hAnsi="Calibri" w:cs="Calibri"/>
          <w:color w:val="111111"/>
          <w:sz w:val="32"/>
          <w:szCs w:val="32"/>
        </w:rPr>
        <w:t xml:space="preserve">Nel 2021, la Borsa Italiana ha lanciato la </w:t>
      </w:r>
      <w:r w:rsidRPr="00302D6E">
        <w:rPr>
          <w:rFonts w:ascii="Calibri" w:eastAsia="Roboto" w:hAnsi="Calibri" w:cs="Calibri"/>
          <w:b/>
          <w:bCs/>
          <w:color w:val="111111"/>
          <w:sz w:val="32"/>
          <w:szCs w:val="32"/>
        </w:rPr>
        <w:t>Sustainable Finance Partnership</w:t>
      </w:r>
      <w:r w:rsidRPr="00302D6E">
        <w:rPr>
          <w:rFonts w:ascii="Calibri" w:eastAsia="Roboto" w:hAnsi="Calibri" w:cs="Calibri"/>
          <w:color w:val="111111"/>
          <w:sz w:val="32"/>
          <w:szCs w:val="32"/>
        </w:rPr>
        <w:t xml:space="preserve">. </w:t>
      </w:r>
      <w:hyperlink r:id="rId21" w:history="1">
        <w:r w:rsidRPr="00302D6E">
          <w:rPr>
            <w:rStyle w:val="Collegamentoipertestuale"/>
            <w:rFonts w:ascii="Calibri" w:eastAsiaTheme="minorEastAsia" w:hAnsi="Calibri" w:cs="Calibri"/>
            <w:color w:val="111111"/>
            <w:sz w:val="32"/>
            <w:szCs w:val="32"/>
          </w:rPr>
          <w:t>Questa iniziativa mira a creare un ecosistema integrato per lo sviluppo di soluzioni innovative di finanza sostenibile nel mercato dei capitali italiano</w:t>
        </w:r>
      </w:hyperlink>
      <w:r w:rsidRPr="00302D6E">
        <w:rPr>
          <w:rFonts w:ascii="Calibri" w:eastAsiaTheme="minorEastAsia" w:hAnsi="Calibri" w:cs="Calibri"/>
          <w:color w:val="111111"/>
          <w:sz w:val="32"/>
          <w:szCs w:val="32"/>
        </w:rPr>
        <w:t>.</w:t>
      </w:r>
    </w:p>
    <w:p w14:paraId="1C8316D3" w14:textId="71D2905A" w:rsidR="00B50326" w:rsidRPr="00182764" w:rsidRDefault="00000000" w:rsidP="003A6534">
      <w:pPr>
        <w:pStyle w:val="Paragrafoelenco"/>
        <w:numPr>
          <w:ilvl w:val="1"/>
          <w:numId w:val="5"/>
        </w:numPr>
        <w:shd w:val="clear" w:color="auto" w:fill="FFFFFF" w:themeFill="background1"/>
        <w:tabs>
          <w:tab w:val="left" w:pos="0"/>
          <w:tab w:val="left" w:pos="1440"/>
        </w:tabs>
        <w:spacing w:after="0" w:line="240" w:lineRule="auto"/>
        <w:rPr>
          <w:rStyle w:val="Collegamentoipertestuale"/>
          <w:rFonts w:ascii="Calibri" w:eastAsiaTheme="minorEastAsia" w:hAnsi="Calibri" w:cs="Calibri"/>
          <w:color w:val="111111"/>
          <w:sz w:val="32"/>
          <w:szCs w:val="32"/>
          <w:u w:val="none"/>
        </w:rPr>
      </w:pPr>
      <w:hyperlink r:id="rId22" w:history="1">
        <w:r w:rsidR="00B50326" w:rsidRPr="00302D6E">
          <w:rPr>
            <w:rStyle w:val="Collegamentoipertestuale"/>
            <w:rFonts w:ascii="Calibri" w:eastAsiaTheme="minorEastAsia" w:hAnsi="Calibri" w:cs="Calibri"/>
            <w:color w:val="111111"/>
            <w:sz w:val="32"/>
            <w:szCs w:val="32"/>
          </w:rPr>
          <w:t>La partnership offre strumenti specifici e opportunità di networking per tutti i partecipanti al mercato, promuovendo una cultura di innovazione nell’ambito della finanza sostenibile</w:t>
        </w:r>
      </w:hyperlink>
      <w:r w:rsidR="00182764">
        <w:rPr>
          <w:rStyle w:val="Collegamentoipertestuale"/>
          <w:rFonts w:ascii="Calibri" w:eastAsiaTheme="minorEastAsia" w:hAnsi="Calibri" w:cs="Calibri"/>
          <w:color w:val="111111"/>
          <w:sz w:val="32"/>
          <w:szCs w:val="32"/>
        </w:rPr>
        <w:t>.</w:t>
      </w:r>
    </w:p>
    <w:p w14:paraId="22C87D19" w14:textId="77777777" w:rsidR="00182764" w:rsidRDefault="00182764" w:rsidP="00182764">
      <w:pPr>
        <w:shd w:val="clear" w:color="auto" w:fill="FFFFFF" w:themeFill="background1"/>
        <w:tabs>
          <w:tab w:val="left" w:pos="0"/>
          <w:tab w:val="left" w:pos="1440"/>
        </w:tabs>
        <w:spacing w:after="0" w:line="240" w:lineRule="auto"/>
        <w:rPr>
          <w:rFonts w:ascii="Calibri" w:eastAsiaTheme="minorEastAsia" w:hAnsi="Calibri" w:cs="Calibri"/>
          <w:color w:val="111111"/>
          <w:sz w:val="32"/>
          <w:szCs w:val="32"/>
        </w:rPr>
      </w:pPr>
    </w:p>
    <w:p w14:paraId="042E4A31" w14:textId="0F455916" w:rsidR="00F71B80" w:rsidRDefault="00F71B80" w:rsidP="00F71B80">
      <w:pPr>
        <w:shd w:val="clear" w:color="auto" w:fill="FFFFFF" w:themeFill="background1"/>
        <w:tabs>
          <w:tab w:val="left" w:pos="0"/>
          <w:tab w:val="left" w:pos="1440"/>
        </w:tabs>
        <w:spacing w:after="0" w:line="240" w:lineRule="auto"/>
        <w:jc w:val="center"/>
        <w:rPr>
          <w:rFonts w:ascii="Calibri" w:eastAsiaTheme="minorEastAsia" w:hAnsi="Calibri" w:cs="Calibri"/>
          <w:color w:val="111111"/>
          <w:sz w:val="32"/>
          <w:szCs w:val="32"/>
        </w:rPr>
      </w:pPr>
      <w:r>
        <w:rPr>
          <w:noProof/>
        </w:rPr>
        <w:lastRenderedPageBreak/>
        <w:drawing>
          <wp:inline distT="0" distB="0" distL="0" distR="0" wp14:anchorId="72775D62" wp14:editId="684661E0">
            <wp:extent cx="2857500" cy="1600200"/>
            <wp:effectExtent l="0" t="0" r="0" b="0"/>
            <wp:docPr id="2009554130" name="Immagine 9" descr="Finanza sostenibile, in vigore le norme Ue sulla trasparenza dell'impatto  ambientale degli investimenti - Eune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inanza sostenibile, in vigore le norme Ue sulla trasparenza dell'impatto  ambientale degli investimenti - Eunew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57500" cy="1600200"/>
                    </a:xfrm>
                    <a:prstGeom prst="rect">
                      <a:avLst/>
                    </a:prstGeom>
                    <a:noFill/>
                    <a:ln>
                      <a:noFill/>
                    </a:ln>
                  </pic:spPr>
                </pic:pic>
              </a:graphicData>
            </a:graphic>
          </wp:inline>
        </w:drawing>
      </w:r>
    </w:p>
    <w:p w14:paraId="176E5DC9" w14:textId="77777777" w:rsidR="00F71B80" w:rsidRPr="00182764" w:rsidRDefault="00F71B80" w:rsidP="00182764">
      <w:pPr>
        <w:shd w:val="clear" w:color="auto" w:fill="FFFFFF" w:themeFill="background1"/>
        <w:tabs>
          <w:tab w:val="left" w:pos="0"/>
          <w:tab w:val="left" w:pos="1440"/>
        </w:tabs>
        <w:spacing w:after="0" w:line="240" w:lineRule="auto"/>
        <w:rPr>
          <w:rFonts w:ascii="Calibri" w:eastAsiaTheme="minorEastAsia" w:hAnsi="Calibri" w:cs="Calibri"/>
          <w:color w:val="111111"/>
          <w:sz w:val="32"/>
          <w:szCs w:val="32"/>
        </w:rPr>
      </w:pPr>
    </w:p>
    <w:p w14:paraId="6C0F572B" w14:textId="77777777" w:rsidR="00B50326" w:rsidRPr="00302D6E" w:rsidRDefault="00B50326" w:rsidP="003A6534">
      <w:pPr>
        <w:spacing w:after="0" w:line="240" w:lineRule="auto"/>
        <w:rPr>
          <w:rFonts w:ascii="Calibri" w:eastAsiaTheme="minorEastAsia" w:hAnsi="Calibri" w:cs="Calibri"/>
          <w:color w:val="111111"/>
          <w:sz w:val="32"/>
          <w:szCs w:val="32"/>
        </w:rPr>
      </w:pPr>
      <w:r w:rsidRPr="00302D6E">
        <w:rPr>
          <w:rFonts w:ascii="Calibri" w:eastAsiaTheme="minorEastAsia" w:hAnsi="Calibri" w:cs="Calibri"/>
          <w:color w:val="111111"/>
          <w:sz w:val="32"/>
          <w:szCs w:val="32"/>
        </w:rPr>
        <w:t>Strumenti della finanza sostenibile:</w:t>
      </w:r>
    </w:p>
    <w:p w14:paraId="23900781" w14:textId="32A622E7" w:rsidR="00B50326" w:rsidRPr="00302D6E" w:rsidRDefault="00B50326" w:rsidP="003A6534">
      <w:pPr>
        <w:pStyle w:val="Paragrafoelenco"/>
        <w:numPr>
          <w:ilvl w:val="0"/>
          <w:numId w:val="6"/>
        </w:numPr>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Green Bond</w:t>
      </w:r>
      <w:r w:rsidRPr="00302D6E">
        <w:rPr>
          <w:rFonts w:ascii="Calibri" w:eastAsiaTheme="minorEastAsia" w:hAnsi="Calibri" w:cs="Calibri"/>
          <w:color w:val="111111"/>
          <w:sz w:val="32"/>
          <w:szCs w:val="32"/>
        </w:rPr>
        <w:t xml:space="preserve"> – questi strumenti finanziari sono emessi per finanziare progetti con un impatto ambientale positivo. Ad esempio, possono essere utilizzati per finanziare progetti di energia rinnovabile, efficienza energetica o riduzione delle emissioni di carbonio</w:t>
      </w:r>
      <w:r w:rsidR="00EA247D">
        <w:rPr>
          <w:rFonts w:ascii="Calibri" w:eastAsiaTheme="minorEastAsia" w:hAnsi="Calibri" w:cs="Calibri"/>
          <w:color w:val="111111"/>
          <w:sz w:val="32"/>
          <w:szCs w:val="32"/>
        </w:rPr>
        <w:t>.</w:t>
      </w:r>
    </w:p>
    <w:p w14:paraId="677CB581" w14:textId="2A95BB94" w:rsidR="00B50326" w:rsidRPr="00302D6E" w:rsidRDefault="00B50326" w:rsidP="003A6534">
      <w:pPr>
        <w:pStyle w:val="Paragrafoelenco"/>
        <w:numPr>
          <w:ilvl w:val="0"/>
          <w:numId w:val="6"/>
        </w:numPr>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Social Bond</w:t>
      </w:r>
      <w:r w:rsidRPr="00302D6E">
        <w:rPr>
          <w:rFonts w:ascii="Calibri" w:eastAsiaTheme="minorEastAsia" w:hAnsi="Calibri" w:cs="Calibri"/>
          <w:color w:val="111111"/>
          <w:sz w:val="32"/>
          <w:szCs w:val="32"/>
        </w:rPr>
        <w:t xml:space="preserve"> – sono destinati a finanziare progetti con un impatto sociale positivo. Questi progetti possono riguardare l’istruzione, la salute, l’occupazione o l’inclusione sociale</w:t>
      </w:r>
      <w:r w:rsidR="00EA247D">
        <w:rPr>
          <w:rFonts w:ascii="Calibri" w:eastAsiaTheme="minorEastAsia" w:hAnsi="Calibri" w:cs="Calibri"/>
          <w:color w:val="111111"/>
          <w:sz w:val="32"/>
          <w:szCs w:val="32"/>
        </w:rPr>
        <w:t>.</w:t>
      </w:r>
    </w:p>
    <w:p w14:paraId="0DD9E591" w14:textId="124CFF7F" w:rsidR="00915DD8" w:rsidRDefault="00B50326" w:rsidP="003A6534">
      <w:pPr>
        <w:pStyle w:val="Paragrafoelenco"/>
        <w:numPr>
          <w:ilvl w:val="0"/>
          <w:numId w:val="6"/>
        </w:numPr>
        <w:spacing w:after="0" w:line="240" w:lineRule="auto"/>
        <w:rPr>
          <w:rFonts w:ascii="Calibri" w:eastAsiaTheme="minorEastAsia" w:hAnsi="Calibri" w:cs="Calibri"/>
          <w:color w:val="111111"/>
          <w:sz w:val="32"/>
          <w:szCs w:val="32"/>
        </w:rPr>
      </w:pPr>
      <w:r w:rsidRPr="00302D6E">
        <w:rPr>
          <w:rFonts w:ascii="Calibri" w:eastAsiaTheme="minorEastAsia" w:hAnsi="Calibri" w:cs="Calibri"/>
          <w:b/>
          <w:bCs/>
          <w:color w:val="111111"/>
          <w:sz w:val="32"/>
          <w:szCs w:val="32"/>
        </w:rPr>
        <w:t>Sustainable Bond</w:t>
      </w:r>
      <w:r w:rsidRPr="00302D6E">
        <w:rPr>
          <w:rFonts w:ascii="Calibri" w:eastAsiaTheme="minorEastAsia" w:hAnsi="Calibri" w:cs="Calibri"/>
          <w:color w:val="111111"/>
          <w:sz w:val="32"/>
          <w:szCs w:val="32"/>
        </w:rPr>
        <w:t xml:space="preserve"> – questi strumenti finanziari sono più ampi e possono finanziare progetti sia con impatto ambientale che sociale. Sono progettati per promuovere uno sviluppo sostenibile e responsabile</w:t>
      </w:r>
      <w:r w:rsidR="00302D6E" w:rsidRPr="00302D6E">
        <w:rPr>
          <w:rFonts w:ascii="Calibri" w:eastAsiaTheme="minorEastAsia" w:hAnsi="Calibri" w:cs="Calibri"/>
          <w:color w:val="111111"/>
          <w:sz w:val="32"/>
          <w:szCs w:val="32"/>
        </w:rPr>
        <w:t>.</w:t>
      </w:r>
    </w:p>
    <w:p w14:paraId="5D2B3F13" w14:textId="77777777" w:rsidR="003A6534" w:rsidRPr="003A6534" w:rsidRDefault="003A6534" w:rsidP="003A6534">
      <w:pPr>
        <w:spacing w:after="0" w:line="240" w:lineRule="auto"/>
        <w:rPr>
          <w:rFonts w:ascii="Calibri" w:eastAsiaTheme="minorEastAsia" w:hAnsi="Calibri" w:cs="Calibri"/>
          <w:color w:val="111111"/>
          <w:sz w:val="32"/>
          <w:szCs w:val="32"/>
        </w:rPr>
      </w:pPr>
    </w:p>
    <w:p w14:paraId="23F37566" w14:textId="65696E61" w:rsidR="00F107AE" w:rsidRDefault="00F107AE" w:rsidP="003A6534">
      <w:pPr>
        <w:spacing w:after="0" w:line="240" w:lineRule="auto"/>
        <w:jc w:val="center"/>
        <w:rPr>
          <w:rFonts w:ascii="Calibri Light" w:eastAsiaTheme="minorEastAsia" w:hAnsi="Calibri Light" w:cs="Calibri Light"/>
          <w:b/>
          <w:bCs/>
          <w:color w:val="FF0000"/>
          <w:sz w:val="48"/>
          <w:szCs w:val="48"/>
        </w:rPr>
      </w:pPr>
      <w:r>
        <w:rPr>
          <w:rFonts w:ascii="Calibri Light" w:eastAsiaTheme="minorEastAsia" w:hAnsi="Calibri Light" w:cs="Calibri Light"/>
          <w:b/>
          <w:bCs/>
          <w:color w:val="FF0000"/>
          <w:sz w:val="48"/>
          <w:szCs w:val="48"/>
        </w:rPr>
        <w:t>Pinalli</w:t>
      </w:r>
    </w:p>
    <w:p w14:paraId="3C281594" w14:textId="77777777" w:rsidR="00F71B80" w:rsidRDefault="00F71B80" w:rsidP="003A6534">
      <w:pPr>
        <w:spacing w:after="0" w:line="240" w:lineRule="auto"/>
        <w:jc w:val="center"/>
        <w:rPr>
          <w:rFonts w:ascii="Calibri Light" w:eastAsiaTheme="minorEastAsia" w:hAnsi="Calibri Light" w:cs="Calibri Light"/>
          <w:color w:val="FF0000"/>
          <w:sz w:val="32"/>
          <w:szCs w:val="32"/>
        </w:rPr>
      </w:pPr>
    </w:p>
    <w:p w14:paraId="2A68E63F" w14:textId="529180DA" w:rsidR="00F71B80" w:rsidRDefault="00F71B80" w:rsidP="003A6534">
      <w:pPr>
        <w:spacing w:after="0" w:line="240" w:lineRule="auto"/>
        <w:jc w:val="center"/>
        <w:rPr>
          <w:rFonts w:ascii="Calibri Light" w:eastAsiaTheme="minorEastAsia" w:hAnsi="Calibri Light" w:cs="Calibri Light"/>
          <w:color w:val="FF0000"/>
          <w:sz w:val="32"/>
          <w:szCs w:val="32"/>
        </w:rPr>
      </w:pPr>
      <w:r>
        <w:rPr>
          <w:noProof/>
        </w:rPr>
        <w:drawing>
          <wp:inline distT="0" distB="0" distL="0" distR="0" wp14:anchorId="330910E0" wp14:editId="660246F1">
            <wp:extent cx="2522220" cy="1894936"/>
            <wp:effectExtent l="0" t="0" r="0" b="0"/>
            <wp:docPr id="1624648250" name="Immagine 11" descr="Pinalli, nuova brand identity. Focus su innovazione e crescita - Cosmopo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inalli, nuova brand identity. Focus su innovazione e crescita - Cosmopolo"/>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43213" cy="1910708"/>
                    </a:xfrm>
                    <a:prstGeom prst="rect">
                      <a:avLst/>
                    </a:prstGeom>
                    <a:noFill/>
                    <a:ln>
                      <a:noFill/>
                    </a:ln>
                  </pic:spPr>
                </pic:pic>
              </a:graphicData>
            </a:graphic>
          </wp:inline>
        </w:drawing>
      </w:r>
    </w:p>
    <w:p w14:paraId="1582B61F" w14:textId="77777777" w:rsidR="00F71B80" w:rsidRPr="00F71B80" w:rsidRDefault="00F71B80" w:rsidP="003A6534">
      <w:pPr>
        <w:spacing w:after="0" w:line="240" w:lineRule="auto"/>
        <w:jc w:val="center"/>
        <w:rPr>
          <w:rFonts w:ascii="Calibri Light" w:eastAsiaTheme="minorEastAsia" w:hAnsi="Calibri Light" w:cs="Calibri Light"/>
          <w:color w:val="FF0000"/>
          <w:sz w:val="32"/>
          <w:szCs w:val="32"/>
        </w:rPr>
      </w:pPr>
    </w:p>
    <w:p w14:paraId="37764563" w14:textId="5DC5ED70" w:rsidR="00F107AE" w:rsidRPr="00F107AE" w:rsidRDefault="00F107AE" w:rsidP="003A6534">
      <w:pPr>
        <w:spacing w:after="0" w:line="240" w:lineRule="auto"/>
        <w:rPr>
          <w:rFonts w:asciiTheme="majorHAnsi" w:eastAsiaTheme="minorEastAsia" w:hAnsiTheme="majorHAnsi" w:cs="Calibri Light"/>
          <w:sz w:val="40"/>
          <w:szCs w:val="40"/>
        </w:rPr>
      </w:pPr>
      <w:r>
        <w:rPr>
          <w:rFonts w:asciiTheme="majorHAnsi" w:eastAsiaTheme="minorEastAsia" w:hAnsiTheme="majorHAnsi" w:cs="Calibri Light"/>
          <w:sz w:val="40"/>
          <w:szCs w:val="40"/>
        </w:rPr>
        <w:t>La società Pinalli</w:t>
      </w:r>
    </w:p>
    <w:p w14:paraId="08EA21C5" w14:textId="77777777" w:rsidR="00182764" w:rsidRDefault="00182764" w:rsidP="003A6534">
      <w:pPr>
        <w:pStyle w:val="sc-jhkvzv"/>
        <w:shd w:val="clear" w:color="auto" w:fill="FFFFFF"/>
        <w:spacing w:before="0" w:beforeAutospacing="0" w:after="0" w:afterAutospacing="0"/>
        <w:rPr>
          <w:rStyle w:val="sc-fiosxk"/>
          <w:rFonts w:ascii="Calibri" w:eastAsiaTheme="majorEastAsia" w:hAnsi="Calibri" w:cs="Calibri"/>
          <w:sz w:val="32"/>
          <w:szCs w:val="32"/>
        </w:rPr>
      </w:pPr>
    </w:p>
    <w:p w14:paraId="04A7A814" w14:textId="2BF8F560" w:rsidR="00915DD8" w:rsidRDefault="00915DD8" w:rsidP="003A6534">
      <w:pPr>
        <w:pStyle w:val="sc-jhkvzv"/>
        <w:shd w:val="clear" w:color="auto" w:fill="FFFFFF"/>
        <w:spacing w:before="0" w:beforeAutospacing="0" w:after="0" w:afterAutospacing="0"/>
        <w:rPr>
          <w:rStyle w:val="sc-fiosxk"/>
          <w:rFonts w:ascii="Calibri" w:eastAsiaTheme="majorEastAsia" w:hAnsi="Calibri" w:cs="Calibri"/>
          <w:sz w:val="32"/>
          <w:szCs w:val="32"/>
        </w:rPr>
      </w:pPr>
      <w:r w:rsidRPr="004C6514">
        <w:rPr>
          <w:rStyle w:val="sc-fiosxk"/>
          <w:rFonts w:ascii="Calibri" w:eastAsiaTheme="majorEastAsia" w:hAnsi="Calibri" w:cs="Calibri"/>
          <w:b/>
          <w:bCs/>
          <w:sz w:val="32"/>
          <w:szCs w:val="32"/>
        </w:rPr>
        <w:t>Pinalli s.r.l. è la prima catena italiana di profumerie</w:t>
      </w:r>
      <w:r>
        <w:rPr>
          <w:rStyle w:val="sc-fiosxk"/>
          <w:rFonts w:ascii="Calibri" w:eastAsiaTheme="majorEastAsia" w:hAnsi="Calibri" w:cs="Calibri"/>
          <w:sz w:val="32"/>
          <w:szCs w:val="32"/>
        </w:rPr>
        <w:t xml:space="preserve">, è nata nel 1984 da due coniugi emiliani, precisamente di Fiorenzuola D’Arda in provincia di </w:t>
      </w:r>
      <w:r>
        <w:rPr>
          <w:rStyle w:val="sc-fiosxk"/>
          <w:rFonts w:ascii="Calibri" w:eastAsiaTheme="majorEastAsia" w:hAnsi="Calibri" w:cs="Calibri"/>
          <w:sz w:val="32"/>
          <w:szCs w:val="32"/>
        </w:rPr>
        <w:lastRenderedPageBreak/>
        <w:t>Piacenza, dove è nata la prima profumeria. Piano piano è diventata una realtà con numeri rilevanti:</w:t>
      </w:r>
    </w:p>
    <w:p w14:paraId="2EE7B19A" w14:textId="77777777" w:rsidR="00915DD8" w:rsidRDefault="00915DD8" w:rsidP="003A6534">
      <w:pPr>
        <w:pStyle w:val="sc-jhkvzv"/>
        <w:numPr>
          <w:ilvl w:val="0"/>
          <w:numId w:val="7"/>
        </w:numPr>
        <w:shd w:val="clear" w:color="auto" w:fill="FFFFFF"/>
        <w:spacing w:before="0" w:beforeAutospacing="0" w:after="0" w:afterAutospacing="0"/>
        <w:rPr>
          <w:rStyle w:val="sc-fiosxk"/>
          <w:rFonts w:ascii="Calibri" w:eastAsiaTheme="majorEastAsia" w:hAnsi="Calibri" w:cs="Calibri"/>
          <w:sz w:val="32"/>
          <w:szCs w:val="32"/>
        </w:rPr>
      </w:pPr>
      <w:r w:rsidRPr="004C6514">
        <w:rPr>
          <w:rStyle w:val="sc-fiosxk"/>
          <w:rFonts w:ascii="Calibri" w:eastAsiaTheme="majorEastAsia" w:hAnsi="Calibri" w:cs="Calibri"/>
          <w:b/>
          <w:bCs/>
          <w:sz w:val="32"/>
          <w:szCs w:val="32"/>
        </w:rPr>
        <w:t>oltre 70 beauty store</w:t>
      </w:r>
      <w:r>
        <w:rPr>
          <w:rStyle w:val="sc-fiosxk"/>
          <w:rFonts w:ascii="Calibri" w:eastAsiaTheme="majorEastAsia" w:hAnsi="Calibri" w:cs="Calibri"/>
          <w:sz w:val="32"/>
          <w:szCs w:val="32"/>
        </w:rPr>
        <w:t xml:space="preserve"> posizionati in zone strategiche del nord-centro Italia; </w:t>
      </w:r>
    </w:p>
    <w:p w14:paraId="09952C7A" w14:textId="77777777" w:rsidR="00915DD8" w:rsidRDefault="00915DD8" w:rsidP="003A6534">
      <w:pPr>
        <w:pStyle w:val="sc-jhkvzv"/>
        <w:numPr>
          <w:ilvl w:val="0"/>
          <w:numId w:val="7"/>
        </w:numPr>
        <w:shd w:val="clear" w:color="auto" w:fill="FFFFFF"/>
        <w:spacing w:before="0" w:beforeAutospacing="0" w:after="0" w:afterAutospacing="0"/>
        <w:rPr>
          <w:rStyle w:val="sc-fiosxk"/>
          <w:rFonts w:ascii="Calibri" w:eastAsiaTheme="majorEastAsia" w:hAnsi="Calibri" w:cs="Calibri"/>
          <w:sz w:val="32"/>
          <w:szCs w:val="32"/>
        </w:rPr>
      </w:pPr>
      <w:r w:rsidRPr="004C6514">
        <w:rPr>
          <w:rStyle w:val="sc-fiosxk"/>
          <w:rFonts w:ascii="Calibri" w:eastAsiaTheme="majorEastAsia" w:hAnsi="Calibri" w:cs="Calibri"/>
          <w:b/>
          <w:bCs/>
          <w:sz w:val="32"/>
          <w:szCs w:val="32"/>
        </w:rPr>
        <w:t>5000 mq di logistica interna</w:t>
      </w:r>
      <w:r>
        <w:rPr>
          <w:rStyle w:val="sc-fiosxk"/>
          <w:rFonts w:ascii="Calibri" w:eastAsiaTheme="majorEastAsia" w:hAnsi="Calibri" w:cs="Calibri"/>
          <w:sz w:val="32"/>
          <w:szCs w:val="32"/>
        </w:rPr>
        <w:t xml:space="preserve"> che rifornisce i punti vendita; </w:t>
      </w:r>
    </w:p>
    <w:p w14:paraId="3AD7FB65" w14:textId="77777777" w:rsidR="00915DD8" w:rsidRDefault="00915DD8" w:rsidP="003A6534">
      <w:pPr>
        <w:pStyle w:val="sc-jhkvzv"/>
        <w:numPr>
          <w:ilvl w:val="0"/>
          <w:numId w:val="7"/>
        </w:numPr>
        <w:shd w:val="clear" w:color="auto" w:fill="FFFFFF"/>
        <w:spacing w:before="0" w:beforeAutospacing="0" w:after="0" w:afterAutospacing="0"/>
        <w:rPr>
          <w:rStyle w:val="sc-fiosxk"/>
          <w:rFonts w:ascii="Calibri" w:eastAsiaTheme="majorEastAsia" w:hAnsi="Calibri" w:cs="Calibri"/>
          <w:sz w:val="32"/>
          <w:szCs w:val="32"/>
        </w:rPr>
      </w:pPr>
      <w:r w:rsidRPr="004C6514">
        <w:rPr>
          <w:rStyle w:val="sc-fiosxk"/>
          <w:rFonts w:ascii="Calibri" w:eastAsiaTheme="majorEastAsia" w:hAnsi="Calibri" w:cs="Calibri"/>
          <w:b/>
          <w:bCs/>
          <w:sz w:val="32"/>
          <w:szCs w:val="32"/>
        </w:rPr>
        <w:t>una piattaforma Ecommerce</w:t>
      </w:r>
      <w:r>
        <w:rPr>
          <w:rStyle w:val="sc-fiosxk"/>
          <w:rFonts w:ascii="Calibri" w:eastAsiaTheme="majorEastAsia" w:hAnsi="Calibri" w:cs="Calibri"/>
          <w:sz w:val="32"/>
          <w:szCs w:val="32"/>
        </w:rPr>
        <w:t xml:space="preserve"> tra le prime del mondo beauty, apprezzata per la facilità di navigazione e il grande assortimento.</w:t>
      </w:r>
    </w:p>
    <w:p w14:paraId="0AD41894" w14:textId="77777777" w:rsidR="00915DD8" w:rsidRDefault="00915DD8" w:rsidP="003A6534">
      <w:pPr>
        <w:pStyle w:val="sc-jhkvzv"/>
        <w:shd w:val="clear" w:color="auto" w:fill="FFFFFF"/>
        <w:spacing w:before="0" w:beforeAutospacing="0" w:after="0" w:afterAutospacing="0"/>
        <w:rPr>
          <w:rStyle w:val="sc-fiosxk"/>
          <w:rFonts w:ascii="Calibri" w:eastAsiaTheme="majorEastAsia" w:hAnsi="Calibri" w:cs="Calibri"/>
          <w:sz w:val="32"/>
          <w:szCs w:val="32"/>
        </w:rPr>
      </w:pPr>
      <w:r>
        <w:rPr>
          <w:rStyle w:val="sc-fiosxk"/>
          <w:rFonts w:ascii="Calibri" w:eastAsiaTheme="majorEastAsia" w:hAnsi="Calibri" w:cs="Calibri"/>
          <w:sz w:val="32"/>
          <w:szCs w:val="32"/>
        </w:rPr>
        <w:t>Gli store si trovano principalmente nei centri storici delle città e questo gli ha permesso di creare relazioni con la clientela, che umanizzano fortemente il loro modo di vendere prodotti e servizi.</w:t>
      </w:r>
    </w:p>
    <w:p w14:paraId="05BF92CD" w14:textId="77777777" w:rsidR="00915DD8" w:rsidRDefault="00915DD8" w:rsidP="003A6534">
      <w:pPr>
        <w:pStyle w:val="sc-jhkvzv"/>
        <w:shd w:val="clear" w:color="auto" w:fill="FFFFFF"/>
        <w:spacing w:before="0" w:beforeAutospacing="0" w:after="0" w:afterAutospacing="0"/>
        <w:rPr>
          <w:rStyle w:val="sc-fiosxk"/>
          <w:rFonts w:ascii="Calibri" w:eastAsiaTheme="majorEastAsia" w:hAnsi="Calibri" w:cs="Calibri"/>
          <w:sz w:val="32"/>
          <w:szCs w:val="32"/>
        </w:rPr>
      </w:pPr>
      <w:r w:rsidRPr="004C6514">
        <w:rPr>
          <w:rStyle w:val="sc-fiosxk"/>
          <w:rFonts w:ascii="Calibri" w:eastAsiaTheme="majorEastAsia" w:hAnsi="Calibri" w:cs="Calibri"/>
          <w:b/>
          <w:bCs/>
          <w:sz w:val="32"/>
          <w:szCs w:val="32"/>
        </w:rPr>
        <w:t>Pinalli è una società che punta al green</w:t>
      </w:r>
      <w:r>
        <w:rPr>
          <w:rStyle w:val="sc-fiosxk"/>
          <w:rFonts w:ascii="Calibri" w:eastAsiaTheme="majorEastAsia" w:hAnsi="Calibri" w:cs="Calibri"/>
          <w:sz w:val="32"/>
          <w:szCs w:val="32"/>
        </w:rPr>
        <w:t>, infatti si impegna costantemente con azioni volte a contenere l’inquinamento; per esempio:</w:t>
      </w:r>
    </w:p>
    <w:p w14:paraId="216F7C52" w14:textId="61A3285E" w:rsidR="00915DD8" w:rsidRDefault="00915DD8" w:rsidP="003A6534">
      <w:pPr>
        <w:pStyle w:val="sc-jhkvzv"/>
        <w:numPr>
          <w:ilvl w:val="0"/>
          <w:numId w:val="8"/>
        </w:numPr>
        <w:shd w:val="clear" w:color="auto" w:fill="FFFFFF"/>
        <w:spacing w:before="0" w:beforeAutospacing="0" w:after="0" w:afterAutospacing="0"/>
        <w:rPr>
          <w:rStyle w:val="sc-fiosxk"/>
          <w:rFonts w:ascii="Calibri" w:eastAsiaTheme="majorEastAsia" w:hAnsi="Calibri" w:cs="Calibri"/>
          <w:sz w:val="32"/>
          <w:szCs w:val="32"/>
        </w:rPr>
      </w:pPr>
      <w:r>
        <w:rPr>
          <w:rStyle w:val="sc-fiosxk"/>
          <w:rFonts w:ascii="Calibri" w:eastAsiaTheme="majorEastAsia" w:hAnsi="Calibri" w:cs="Calibri"/>
          <w:sz w:val="32"/>
          <w:szCs w:val="32"/>
        </w:rPr>
        <w:t>l’ecommerce li ha aiutat</w:t>
      </w:r>
      <w:r w:rsidR="00EA247D">
        <w:rPr>
          <w:rStyle w:val="sc-fiosxk"/>
          <w:rFonts w:ascii="Calibri" w:eastAsiaTheme="majorEastAsia" w:hAnsi="Calibri" w:cs="Calibri"/>
          <w:sz w:val="32"/>
          <w:szCs w:val="32"/>
        </w:rPr>
        <w:t>i</w:t>
      </w:r>
      <w:r>
        <w:rPr>
          <w:rStyle w:val="sc-fiosxk"/>
          <w:rFonts w:ascii="Calibri" w:eastAsiaTheme="majorEastAsia" w:hAnsi="Calibri" w:cs="Calibri"/>
          <w:sz w:val="32"/>
          <w:szCs w:val="32"/>
        </w:rPr>
        <w:t xml:space="preserve"> a ridurre notevolmente la produzione e lo smaltimento della carta;</w:t>
      </w:r>
    </w:p>
    <w:p w14:paraId="4D0111F5" w14:textId="77777777" w:rsidR="00915DD8" w:rsidRDefault="00915DD8" w:rsidP="003A6534">
      <w:pPr>
        <w:pStyle w:val="sc-jhkvzv"/>
        <w:numPr>
          <w:ilvl w:val="0"/>
          <w:numId w:val="8"/>
        </w:numPr>
        <w:shd w:val="clear" w:color="auto" w:fill="FFFFFF"/>
        <w:spacing w:before="0" w:beforeAutospacing="0" w:after="0" w:afterAutospacing="0"/>
        <w:rPr>
          <w:rStyle w:val="sc-fiosxk"/>
          <w:rFonts w:ascii="Calibri" w:eastAsiaTheme="majorEastAsia" w:hAnsi="Calibri" w:cs="Calibri"/>
          <w:sz w:val="32"/>
          <w:szCs w:val="32"/>
        </w:rPr>
      </w:pPr>
      <w:r>
        <w:rPr>
          <w:rStyle w:val="sc-fiosxk"/>
          <w:rFonts w:ascii="Calibri" w:eastAsiaTheme="majorEastAsia" w:hAnsi="Calibri" w:cs="Calibri"/>
          <w:sz w:val="32"/>
          <w:szCs w:val="32"/>
        </w:rPr>
        <w:t>i clienti possono riciclare i flaconi vuoti dei prodotti acquistati consegnandoli presso le profumerie;</w:t>
      </w:r>
    </w:p>
    <w:p w14:paraId="3D1AB860" w14:textId="77777777" w:rsidR="00915DD8" w:rsidRDefault="00915DD8" w:rsidP="003A6534">
      <w:pPr>
        <w:pStyle w:val="sc-jhkvzv"/>
        <w:numPr>
          <w:ilvl w:val="0"/>
          <w:numId w:val="8"/>
        </w:numPr>
        <w:shd w:val="clear" w:color="auto" w:fill="FFFFFF"/>
        <w:spacing w:before="0" w:beforeAutospacing="0" w:after="0" w:afterAutospacing="0"/>
        <w:rPr>
          <w:rStyle w:val="sc-fiosxk"/>
          <w:rFonts w:ascii="Calibri" w:eastAsiaTheme="majorEastAsia" w:hAnsi="Calibri" w:cs="Calibri"/>
          <w:sz w:val="32"/>
          <w:szCs w:val="32"/>
        </w:rPr>
      </w:pPr>
      <w:r>
        <w:rPr>
          <w:rStyle w:val="sc-fiosxk"/>
          <w:rFonts w:ascii="Calibri" w:eastAsiaTheme="majorEastAsia" w:hAnsi="Calibri" w:cs="Calibri"/>
          <w:sz w:val="32"/>
          <w:szCs w:val="32"/>
        </w:rPr>
        <w:t>molti dei brand che fanno parte del loro assortimento, hanno un pack riciclato o riciclabile, e sono formulati con ingredienti naturali.</w:t>
      </w:r>
    </w:p>
    <w:p w14:paraId="22CBEF4A" w14:textId="60AB144C" w:rsidR="00915DD8" w:rsidRDefault="00915DD8" w:rsidP="003A6534">
      <w:pPr>
        <w:pStyle w:val="sc-jhkvzv"/>
        <w:shd w:val="clear" w:color="auto" w:fill="FFFFFF"/>
        <w:spacing w:before="0" w:beforeAutospacing="0" w:after="0" w:afterAutospacing="0"/>
        <w:rPr>
          <w:rStyle w:val="sc-fiosxk"/>
          <w:rFonts w:ascii="Calibri" w:eastAsiaTheme="majorEastAsia" w:hAnsi="Calibri" w:cs="Calibri"/>
          <w:sz w:val="32"/>
          <w:szCs w:val="32"/>
        </w:rPr>
      </w:pPr>
      <w:r>
        <w:rPr>
          <w:rStyle w:val="sc-fiosxk"/>
          <w:rFonts w:ascii="Calibri" w:eastAsiaTheme="majorEastAsia" w:hAnsi="Calibri" w:cs="Calibri"/>
          <w:sz w:val="32"/>
          <w:szCs w:val="32"/>
        </w:rPr>
        <w:t xml:space="preserve"> Inoltre, per essere più inclusivi hanno fortemente modernizzato</w:t>
      </w:r>
      <w:r w:rsidRPr="008A2314">
        <w:rPr>
          <w:rStyle w:val="sc-fiosxk"/>
          <w:rFonts w:ascii="Calibri" w:eastAsiaTheme="majorEastAsia" w:hAnsi="Calibri" w:cs="Calibri"/>
          <w:sz w:val="32"/>
          <w:szCs w:val="32"/>
        </w:rPr>
        <w:t xml:space="preserve"> </w:t>
      </w:r>
      <w:r>
        <w:rPr>
          <w:rStyle w:val="sc-fiosxk"/>
          <w:rFonts w:ascii="Calibri" w:eastAsiaTheme="majorEastAsia" w:hAnsi="Calibri" w:cs="Calibri"/>
          <w:sz w:val="32"/>
          <w:szCs w:val="32"/>
        </w:rPr>
        <w:t>la comunicazione e il loro assortimento con proposte dedicate a target più specifici.</w:t>
      </w:r>
    </w:p>
    <w:p w14:paraId="77A85311" w14:textId="77777777" w:rsidR="003A6534" w:rsidRDefault="003A6534" w:rsidP="003A6534">
      <w:pPr>
        <w:pStyle w:val="sc-jhkvzv"/>
        <w:shd w:val="clear" w:color="auto" w:fill="FFFFFF"/>
        <w:spacing w:before="0" w:beforeAutospacing="0" w:after="0" w:afterAutospacing="0"/>
        <w:rPr>
          <w:rStyle w:val="sc-fiosxk"/>
          <w:rFonts w:ascii="Calibri" w:eastAsiaTheme="majorEastAsia" w:hAnsi="Calibri" w:cs="Calibri"/>
          <w:sz w:val="32"/>
          <w:szCs w:val="32"/>
        </w:rPr>
      </w:pPr>
    </w:p>
    <w:p w14:paraId="2EAEC352" w14:textId="44A6C652" w:rsidR="00915DD8" w:rsidRPr="00BF47D6" w:rsidRDefault="00BF47D6" w:rsidP="003A6534">
      <w:pPr>
        <w:pStyle w:val="sc-jhkvzv"/>
        <w:shd w:val="clear" w:color="auto" w:fill="FFFFFF"/>
        <w:spacing w:before="0" w:beforeAutospacing="0" w:after="0" w:afterAutospacing="0"/>
        <w:rPr>
          <w:rStyle w:val="sc-fiosxk"/>
          <w:rFonts w:asciiTheme="majorHAnsi" w:eastAsiaTheme="majorEastAsia" w:hAnsiTheme="majorHAnsi" w:cs="Calibri"/>
          <w:sz w:val="40"/>
          <w:szCs w:val="40"/>
        </w:rPr>
      </w:pPr>
      <w:r>
        <w:rPr>
          <w:rStyle w:val="sc-fiosxk"/>
          <w:rFonts w:asciiTheme="majorHAnsi" w:eastAsiaTheme="majorEastAsia" w:hAnsiTheme="majorHAnsi" w:cs="Calibri"/>
          <w:sz w:val="40"/>
          <w:szCs w:val="40"/>
        </w:rPr>
        <w:t>Gli investimenti della società</w:t>
      </w:r>
    </w:p>
    <w:p w14:paraId="373FD357" w14:textId="77777777" w:rsidR="00182764" w:rsidRDefault="00182764" w:rsidP="003A6534">
      <w:pPr>
        <w:spacing w:after="0" w:line="240" w:lineRule="auto"/>
        <w:rPr>
          <w:rFonts w:ascii="Calibri" w:hAnsi="Calibri" w:cs="Calibri"/>
          <w:sz w:val="32"/>
          <w:szCs w:val="32"/>
        </w:rPr>
      </w:pPr>
    </w:p>
    <w:p w14:paraId="401780CC" w14:textId="191E3765" w:rsidR="00915DD8" w:rsidRPr="00443C24" w:rsidRDefault="00915DD8" w:rsidP="003A6534">
      <w:pPr>
        <w:spacing w:after="0" w:line="240" w:lineRule="auto"/>
        <w:rPr>
          <w:rFonts w:ascii="Calibri" w:hAnsi="Calibri" w:cs="Calibri"/>
          <w:sz w:val="32"/>
          <w:szCs w:val="32"/>
        </w:rPr>
      </w:pPr>
      <w:r w:rsidRPr="004C6514">
        <w:rPr>
          <w:rFonts w:ascii="Calibri" w:hAnsi="Calibri" w:cs="Calibri"/>
          <w:b/>
          <w:bCs/>
          <w:sz w:val="32"/>
          <w:szCs w:val="32"/>
        </w:rPr>
        <w:t>Pinalli ha effettuato diversi investimenti</w:t>
      </w:r>
      <w:r w:rsidRPr="00443C24">
        <w:rPr>
          <w:rFonts w:ascii="Calibri" w:hAnsi="Calibri" w:cs="Calibri"/>
          <w:sz w:val="32"/>
          <w:szCs w:val="32"/>
        </w:rPr>
        <w:t xml:space="preserve"> per sostenere la sua crescita e consolidare il suo posizionamento nel mercato.</w:t>
      </w:r>
    </w:p>
    <w:p w14:paraId="60B4E3C8" w14:textId="77777777" w:rsidR="00915DD8" w:rsidRPr="00443C24" w:rsidRDefault="00915DD8" w:rsidP="003A6534">
      <w:pPr>
        <w:pStyle w:val="Paragrafoelenco"/>
        <w:numPr>
          <w:ilvl w:val="0"/>
          <w:numId w:val="9"/>
        </w:numPr>
        <w:spacing w:after="0" w:line="240" w:lineRule="auto"/>
        <w:rPr>
          <w:rFonts w:ascii="Calibri" w:hAnsi="Calibri" w:cs="Calibri"/>
          <w:sz w:val="32"/>
          <w:szCs w:val="32"/>
        </w:rPr>
      </w:pPr>
      <w:r w:rsidRPr="00443C24">
        <w:rPr>
          <w:rFonts w:ascii="Calibri" w:hAnsi="Calibri" w:cs="Calibri"/>
          <w:sz w:val="32"/>
          <w:szCs w:val="32"/>
        </w:rPr>
        <w:t xml:space="preserve">Nel 2022 ha chiuso il bilancio con un fatturato di </w:t>
      </w:r>
      <w:r w:rsidRPr="00443C24">
        <w:rPr>
          <w:rFonts w:ascii="Calibri" w:hAnsi="Calibri" w:cs="Calibri"/>
          <w:b/>
          <w:bCs/>
          <w:sz w:val="32"/>
          <w:szCs w:val="32"/>
        </w:rPr>
        <w:t xml:space="preserve">120 milioni di euro, </w:t>
      </w:r>
      <w:r w:rsidRPr="00443C24">
        <w:rPr>
          <w:rFonts w:ascii="Calibri" w:hAnsi="Calibri" w:cs="Calibri"/>
          <w:sz w:val="32"/>
          <w:szCs w:val="32"/>
        </w:rPr>
        <w:t>registrando un aumento del 22% rispetto al 2021. Inoltre, negli ultimi anni, i punti vendita Pinalli sono passati da 39 a 71 e il fatturato è cresciuto in media del 15% annuo.</w:t>
      </w:r>
    </w:p>
    <w:p w14:paraId="1693490C" w14:textId="77777777" w:rsidR="00915DD8" w:rsidRPr="00443C24" w:rsidRDefault="00915DD8" w:rsidP="003A6534">
      <w:pPr>
        <w:pStyle w:val="Paragrafoelenco"/>
        <w:numPr>
          <w:ilvl w:val="0"/>
          <w:numId w:val="9"/>
        </w:numPr>
        <w:spacing w:after="0" w:line="240" w:lineRule="auto"/>
        <w:rPr>
          <w:rFonts w:ascii="Calibri" w:hAnsi="Calibri" w:cs="Calibri"/>
          <w:sz w:val="32"/>
          <w:szCs w:val="32"/>
        </w:rPr>
      </w:pPr>
      <w:r w:rsidRPr="00443C24">
        <w:rPr>
          <w:rFonts w:ascii="Calibri" w:hAnsi="Calibri" w:cs="Calibri"/>
          <w:sz w:val="32"/>
          <w:szCs w:val="32"/>
        </w:rPr>
        <w:t xml:space="preserve">Obiettivo ambizioso di Pinalli è raggiungere la soglia dei 100 punti vendita entro la fine del 2026, superando i </w:t>
      </w:r>
      <w:r w:rsidRPr="00443C24">
        <w:rPr>
          <w:rFonts w:ascii="Calibri" w:hAnsi="Calibri" w:cs="Calibri"/>
          <w:b/>
          <w:bCs/>
          <w:sz w:val="32"/>
          <w:szCs w:val="32"/>
        </w:rPr>
        <w:t>200 milioni</w:t>
      </w:r>
      <w:r w:rsidRPr="00443C24">
        <w:rPr>
          <w:rFonts w:ascii="Calibri" w:hAnsi="Calibri" w:cs="Calibri"/>
          <w:sz w:val="32"/>
          <w:szCs w:val="32"/>
        </w:rPr>
        <w:t xml:space="preserve"> di fatturato nei prossimi 5 anni.</w:t>
      </w:r>
    </w:p>
    <w:p w14:paraId="2B661F96" w14:textId="77777777" w:rsidR="00915DD8" w:rsidRPr="00443C24" w:rsidRDefault="00915DD8" w:rsidP="003A6534">
      <w:pPr>
        <w:pStyle w:val="Paragrafoelenco"/>
        <w:numPr>
          <w:ilvl w:val="0"/>
          <w:numId w:val="9"/>
        </w:numPr>
        <w:spacing w:after="0" w:line="240" w:lineRule="auto"/>
        <w:rPr>
          <w:rFonts w:ascii="Calibri" w:hAnsi="Calibri" w:cs="Calibri"/>
          <w:sz w:val="32"/>
          <w:szCs w:val="32"/>
        </w:rPr>
      </w:pPr>
      <w:r w:rsidRPr="00443C24">
        <w:rPr>
          <w:rFonts w:ascii="Calibri" w:hAnsi="Calibri" w:cs="Calibri"/>
          <w:sz w:val="32"/>
          <w:szCs w:val="32"/>
        </w:rPr>
        <w:t>La catena Pinalli punta anche sull’</w:t>
      </w:r>
      <w:r w:rsidRPr="00443C24">
        <w:rPr>
          <w:rFonts w:ascii="Calibri" w:hAnsi="Calibri" w:cs="Calibri"/>
          <w:b/>
          <w:bCs/>
          <w:sz w:val="32"/>
          <w:szCs w:val="32"/>
        </w:rPr>
        <w:t>omnicanalità</w:t>
      </w:r>
      <w:r w:rsidRPr="00443C24">
        <w:rPr>
          <w:rFonts w:ascii="Calibri" w:hAnsi="Calibri" w:cs="Calibri"/>
          <w:sz w:val="32"/>
          <w:szCs w:val="32"/>
        </w:rPr>
        <w:t>, con investimenti importanti nella trasformazione digitale per garantire ai clienti un’esperienza di shopping sinergica tra negozio fisico e digitale.</w:t>
      </w:r>
    </w:p>
    <w:p w14:paraId="07D68940" w14:textId="77777777" w:rsidR="00915DD8" w:rsidRPr="00443C24" w:rsidRDefault="00915DD8" w:rsidP="003A6534">
      <w:pPr>
        <w:pStyle w:val="Paragrafoelenco"/>
        <w:numPr>
          <w:ilvl w:val="0"/>
          <w:numId w:val="9"/>
        </w:numPr>
        <w:spacing w:after="0" w:line="240" w:lineRule="auto"/>
        <w:rPr>
          <w:rFonts w:ascii="Calibri" w:hAnsi="Calibri" w:cs="Calibri"/>
          <w:sz w:val="32"/>
          <w:szCs w:val="32"/>
        </w:rPr>
      </w:pPr>
      <w:r w:rsidRPr="00443C24">
        <w:rPr>
          <w:rFonts w:ascii="Calibri" w:hAnsi="Calibri" w:cs="Calibri"/>
          <w:sz w:val="32"/>
          <w:szCs w:val="32"/>
        </w:rPr>
        <w:lastRenderedPageBreak/>
        <w:t>Inoltre, Pinalli ha varato un piano di investimenti di 2 milioni di euro per potenziare la logistica. L’obiettivo è di ampliare del 30% l’attuale superficie dedicata alla logistica, passando da 5000 a 6500 metri quadrati di magazzini di proprietà.</w:t>
      </w:r>
    </w:p>
    <w:p w14:paraId="4C5C01DD" w14:textId="77777777" w:rsidR="00915DD8" w:rsidRPr="00443C24" w:rsidRDefault="00915DD8" w:rsidP="003A6534">
      <w:pPr>
        <w:pStyle w:val="Paragrafoelenco"/>
        <w:numPr>
          <w:ilvl w:val="0"/>
          <w:numId w:val="9"/>
        </w:numPr>
        <w:spacing w:after="0" w:line="240" w:lineRule="auto"/>
        <w:rPr>
          <w:rFonts w:ascii="Calibri" w:hAnsi="Calibri" w:cs="Calibri"/>
          <w:sz w:val="32"/>
          <w:szCs w:val="32"/>
        </w:rPr>
      </w:pPr>
      <w:r w:rsidRPr="00443C24">
        <w:rPr>
          <w:rFonts w:ascii="Calibri" w:hAnsi="Calibri" w:cs="Calibri"/>
          <w:sz w:val="32"/>
          <w:szCs w:val="32"/>
        </w:rPr>
        <w:t>Il fondo d’investimento internazionale H.I.G. Capital detiene la maggioranza di Pinalli, infatti, nel 2023 ne ha acquisito una partecipazione di controllo.</w:t>
      </w:r>
    </w:p>
    <w:p w14:paraId="313ABA1B" w14:textId="77777777" w:rsidR="00417634" w:rsidRDefault="00417634" w:rsidP="003A6534">
      <w:pPr>
        <w:spacing w:after="0" w:line="240" w:lineRule="auto"/>
        <w:rPr>
          <w:rFonts w:ascii="Calibri" w:hAnsi="Calibri" w:cs="Calibri"/>
          <w:kern w:val="0"/>
          <w:sz w:val="32"/>
          <w:szCs w:val="32"/>
          <w14:ligatures w14:val="none"/>
        </w:rPr>
      </w:pPr>
    </w:p>
    <w:p w14:paraId="570E9686" w14:textId="0609637F" w:rsidR="00915DD8" w:rsidRDefault="00915DD8" w:rsidP="003A6534">
      <w:pPr>
        <w:spacing w:after="0" w:line="240" w:lineRule="auto"/>
        <w:rPr>
          <w:rFonts w:ascii="Calibri" w:hAnsi="Calibri" w:cs="Calibri"/>
          <w:kern w:val="0"/>
          <w:sz w:val="32"/>
          <w:szCs w:val="32"/>
          <w14:ligatures w14:val="none"/>
        </w:rPr>
      </w:pPr>
      <w:r w:rsidRPr="00443C24">
        <w:rPr>
          <w:rFonts w:ascii="Calibri" w:hAnsi="Calibri" w:cs="Calibri"/>
          <w:kern w:val="0"/>
          <w:sz w:val="32"/>
          <w:szCs w:val="32"/>
          <w14:ligatures w14:val="none"/>
        </w:rPr>
        <w:t>Al momento, una quotazione di Pinalli in Borsa non è all’ordine del giorno. Tuttavia, la società continua a crescere e a innovare nel settore della bellezza e della cura del corpo.</w:t>
      </w:r>
    </w:p>
    <w:p w14:paraId="5D139D65" w14:textId="38B7AF39" w:rsidR="002A4734" w:rsidRPr="00915DD8" w:rsidRDefault="002A4734" w:rsidP="002A4734">
      <w:pPr>
        <w:spacing w:after="0" w:line="240" w:lineRule="auto"/>
        <w:jc w:val="center"/>
        <w:rPr>
          <w:rFonts w:ascii="Calibri" w:hAnsi="Calibri" w:cs="Calibri"/>
          <w:kern w:val="0"/>
          <w:sz w:val="32"/>
          <w:szCs w:val="32"/>
          <w14:ligatures w14:val="none"/>
        </w:rPr>
      </w:pPr>
      <w:r>
        <w:rPr>
          <w:noProof/>
        </w:rPr>
        <w:drawing>
          <wp:inline distT="0" distB="0" distL="0" distR="0" wp14:anchorId="3949E35D" wp14:editId="7D6577F3">
            <wp:extent cx="2621280" cy="1744980"/>
            <wp:effectExtent l="0" t="0" r="0" b="0"/>
            <wp:docPr id="1040768283" name="Immagine 1" descr="Pinalli chiude il 2021 con una crescita del 18% - Kosmet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nalli chiude il 2021 con una crescita del 18% - Kosmetic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21280" cy="1744980"/>
                    </a:xfrm>
                    <a:prstGeom prst="rect">
                      <a:avLst/>
                    </a:prstGeom>
                    <a:noFill/>
                    <a:ln>
                      <a:noFill/>
                    </a:ln>
                  </pic:spPr>
                </pic:pic>
              </a:graphicData>
            </a:graphic>
          </wp:inline>
        </w:drawing>
      </w:r>
    </w:p>
    <w:sectPr w:rsidR="002A4734" w:rsidRPr="00915DD8">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Roboto">
    <w:charset w:val="00"/>
    <w:family w:val="auto"/>
    <w:pitch w:val="variable"/>
    <w:sig w:usb0="E0000AFF" w:usb1="5000217F" w:usb2="0000002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00AB06"/>
    <w:multiLevelType w:val="hybridMultilevel"/>
    <w:tmpl w:val="F8CC60A2"/>
    <w:lvl w:ilvl="0" w:tplc="9BCEBD26">
      <w:start w:val="1"/>
      <w:numFmt w:val="bullet"/>
      <w:lvlText w:val=""/>
      <w:lvlJc w:val="left"/>
      <w:pPr>
        <w:ind w:left="720" w:hanging="360"/>
      </w:pPr>
      <w:rPr>
        <w:rFonts w:ascii="Symbol" w:hAnsi="Symbol" w:hint="default"/>
      </w:rPr>
    </w:lvl>
    <w:lvl w:ilvl="1" w:tplc="DB98F908">
      <w:start w:val="1"/>
      <w:numFmt w:val="bullet"/>
      <w:lvlText w:val=""/>
      <w:lvlJc w:val="left"/>
      <w:pPr>
        <w:ind w:left="1440" w:hanging="360"/>
      </w:pPr>
      <w:rPr>
        <w:rFonts w:ascii="Symbol" w:hAnsi="Symbol" w:hint="default"/>
      </w:rPr>
    </w:lvl>
    <w:lvl w:ilvl="2" w:tplc="4992B67A">
      <w:start w:val="1"/>
      <w:numFmt w:val="bullet"/>
      <w:lvlText w:val=""/>
      <w:lvlJc w:val="left"/>
      <w:pPr>
        <w:ind w:left="2160" w:hanging="360"/>
      </w:pPr>
      <w:rPr>
        <w:rFonts w:ascii="Wingdings" w:hAnsi="Wingdings" w:hint="default"/>
      </w:rPr>
    </w:lvl>
    <w:lvl w:ilvl="3" w:tplc="EA72C2B0">
      <w:start w:val="1"/>
      <w:numFmt w:val="bullet"/>
      <w:lvlText w:val=""/>
      <w:lvlJc w:val="left"/>
      <w:pPr>
        <w:ind w:left="2880" w:hanging="360"/>
      </w:pPr>
      <w:rPr>
        <w:rFonts w:ascii="Symbol" w:hAnsi="Symbol" w:hint="default"/>
      </w:rPr>
    </w:lvl>
    <w:lvl w:ilvl="4" w:tplc="6368105C">
      <w:start w:val="1"/>
      <w:numFmt w:val="bullet"/>
      <w:lvlText w:val="o"/>
      <w:lvlJc w:val="left"/>
      <w:pPr>
        <w:ind w:left="3600" w:hanging="360"/>
      </w:pPr>
      <w:rPr>
        <w:rFonts w:ascii="Courier New" w:hAnsi="Courier New" w:cs="Times New Roman" w:hint="default"/>
      </w:rPr>
    </w:lvl>
    <w:lvl w:ilvl="5" w:tplc="1E121D4C">
      <w:start w:val="1"/>
      <w:numFmt w:val="bullet"/>
      <w:lvlText w:val=""/>
      <w:lvlJc w:val="left"/>
      <w:pPr>
        <w:ind w:left="4320" w:hanging="360"/>
      </w:pPr>
      <w:rPr>
        <w:rFonts w:ascii="Wingdings" w:hAnsi="Wingdings" w:hint="default"/>
      </w:rPr>
    </w:lvl>
    <w:lvl w:ilvl="6" w:tplc="57606C26">
      <w:start w:val="1"/>
      <w:numFmt w:val="bullet"/>
      <w:lvlText w:val=""/>
      <w:lvlJc w:val="left"/>
      <w:pPr>
        <w:ind w:left="5040" w:hanging="360"/>
      </w:pPr>
      <w:rPr>
        <w:rFonts w:ascii="Symbol" w:hAnsi="Symbol" w:hint="default"/>
      </w:rPr>
    </w:lvl>
    <w:lvl w:ilvl="7" w:tplc="7D42D546">
      <w:start w:val="1"/>
      <w:numFmt w:val="bullet"/>
      <w:lvlText w:val="o"/>
      <w:lvlJc w:val="left"/>
      <w:pPr>
        <w:ind w:left="5760" w:hanging="360"/>
      </w:pPr>
      <w:rPr>
        <w:rFonts w:ascii="Courier New" w:hAnsi="Courier New" w:cs="Times New Roman" w:hint="default"/>
      </w:rPr>
    </w:lvl>
    <w:lvl w:ilvl="8" w:tplc="657E001A">
      <w:start w:val="1"/>
      <w:numFmt w:val="bullet"/>
      <w:lvlText w:val=""/>
      <w:lvlJc w:val="left"/>
      <w:pPr>
        <w:ind w:left="6480" w:hanging="360"/>
      </w:pPr>
      <w:rPr>
        <w:rFonts w:ascii="Wingdings" w:hAnsi="Wingdings" w:hint="default"/>
      </w:rPr>
    </w:lvl>
  </w:abstractNum>
  <w:abstractNum w:abstractNumId="1" w15:restartNumberingAfterBreak="0">
    <w:nsid w:val="0D9C65A6"/>
    <w:multiLevelType w:val="hybridMultilevel"/>
    <w:tmpl w:val="4FFAAAD8"/>
    <w:lvl w:ilvl="0" w:tplc="A6DA9016">
      <w:start w:val="1"/>
      <w:numFmt w:val="bullet"/>
      <w:lvlText w:val="·"/>
      <w:lvlJc w:val="left"/>
      <w:pPr>
        <w:ind w:left="720" w:hanging="360"/>
      </w:pPr>
      <w:rPr>
        <w:rFonts w:ascii="Symbol" w:hAnsi="Symbol" w:hint="default"/>
      </w:rPr>
    </w:lvl>
    <w:lvl w:ilvl="1" w:tplc="43D4AE0A">
      <w:start w:val="1"/>
      <w:numFmt w:val="bullet"/>
      <w:lvlText w:val="o"/>
      <w:lvlJc w:val="left"/>
      <w:pPr>
        <w:ind w:left="1440" w:hanging="360"/>
      </w:pPr>
      <w:rPr>
        <w:rFonts w:ascii="Courier New" w:hAnsi="Courier New" w:cs="Times New Roman" w:hint="default"/>
      </w:rPr>
    </w:lvl>
    <w:lvl w:ilvl="2" w:tplc="68CA8F56">
      <w:start w:val="1"/>
      <w:numFmt w:val="bullet"/>
      <w:lvlText w:val=""/>
      <w:lvlJc w:val="left"/>
      <w:pPr>
        <w:ind w:left="2160" w:hanging="360"/>
      </w:pPr>
      <w:rPr>
        <w:rFonts w:ascii="Wingdings" w:hAnsi="Wingdings" w:hint="default"/>
      </w:rPr>
    </w:lvl>
    <w:lvl w:ilvl="3" w:tplc="47C240AA">
      <w:start w:val="1"/>
      <w:numFmt w:val="bullet"/>
      <w:lvlText w:val=""/>
      <w:lvlJc w:val="left"/>
      <w:pPr>
        <w:ind w:left="2880" w:hanging="360"/>
      </w:pPr>
      <w:rPr>
        <w:rFonts w:ascii="Symbol" w:hAnsi="Symbol" w:hint="default"/>
      </w:rPr>
    </w:lvl>
    <w:lvl w:ilvl="4" w:tplc="3ED02A3C">
      <w:start w:val="1"/>
      <w:numFmt w:val="bullet"/>
      <w:lvlText w:val="o"/>
      <w:lvlJc w:val="left"/>
      <w:pPr>
        <w:ind w:left="3600" w:hanging="360"/>
      </w:pPr>
      <w:rPr>
        <w:rFonts w:ascii="Courier New" w:hAnsi="Courier New" w:cs="Times New Roman" w:hint="default"/>
      </w:rPr>
    </w:lvl>
    <w:lvl w:ilvl="5" w:tplc="A2841D54">
      <w:start w:val="1"/>
      <w:numFmt w:val="bullet"/>
      <w:lvlText w:val=""/>
      <w:lvlJc w:val="left"/>
      <w:pPr>
        <w:ind w:left="4320" w:hanging="360"/>
      </w:pPr>
      <w:rPr>
        <w:rFonts w:ascii="Wingdings" w:hAnsi="Wingdings" w:hint="default"/>
      </w:rPr>
    </w:lvl>
    <w:lvl w:ilvl="6" w:tplc="A3E28108">
      <w:start w:val="1"/>
      <w:numFmt w:val="bullet"/>
      <w:lvlText w:val=""/>
      <w:lvlJc w:val="left"/>
      <w:pPr>
        <w:ind w:left="5040" w:hanging="360"/>
      </w:pPr>
      <w:rPr>
        <w:rFonts w:ascii="Symbol" w:hAnsi="Symbol" w:hint="default"/>
      </w:rPr>
    </w:lvl>
    <w:lvl w:ilvl="7" w:tplc="A6581AB6">
      <w:start w:val="1"/>
      <w:numFmt w:val="bullet"/>
      <w:lvlText w:val="o"/>
      <w:lvlJc w:val="left"/>
      <w:pPr>
        <w:ind w:left="5760" w:hanging="360"/>
      </w:pPr>
      <w:rPr>
        <w:rFonts w:ascii="Courier New" w:hAnsi="Courier New" w:cs="Times New Roman" w:hint="default"/>
      </w:rPr>
    </w:lvl>
    <w:lvl w:ilvl="8" w:tplc="226E5D84">
      <w:start w:val="1"/>
      <w:numFmt w:val="bullet"/>
      <w:lvlText w:val=""/>
      <w:lvlJc w:val="left"/>
      <w:pPr>
        <w:ind w:left="6480" w:hanging="360"/>
      </w:pPr>
      <w:rPr>
        <w:rFonts w:ascii="Wingdings" w:hAnsi="Wingdings" w:hint="default"/>
      </w:rPr>
    </w:lvl>
  </w:abstractNum>
  <w:abstractNum w:abstractNumId="2" w15:restartNumberingAfterBreak="0">
    <w:nsid w:val="10281D1D"/>
    <w:multiLevelType w:val="hybridMultilevel"/>
    <w:tmpl w:val="F35A829C"/>
    <w:lvl w:ilvl="0" w:tplc="FD64A01A">
      <w:start w:val="1"/>
      <w:numFmt w:val="decimal"/>
      <w:lvlText w:val="%1."/>
      <w:lvlJc w:val="left"/>
      <w:pPr>
        <w:ind w:left="720" w:hanging="360"/>
      </w:pPr>
    </w:lvl>
    <w:lvl w:ilvl="1" w:tplc="72B4047A">
      <w:start w:val="1"/>
      <w:numFmt w:val="lowerLetter"/>
      <w:lvlText w:val="%2."/>
      <w:lvlJc w:val="left"/>
      <w:pPr>
        <w:ind w:left="1440" w:hanging="360"/>
      </w:pPr>
    </w:lvl>
    <w:lvl w:ilvl="2" w:tplc="26887B6C">
      <w:start w:val="1"/>
      <w:numFmt w:val="lowerRoman"/>
      <w:lvlText w:val="%3."/>
      <w:lvlJc w:val="right"/>
      <w:pPr>
        <w:ind w:left="2160" w:hanging="180"/>
      </w:pPr>
    </w:lvl>
    <w:lvl w:ilvl="3" w:tplc="85F46C82">
      <w:start w:val="1"/>
      <w:numFmt w:val="decimal"/>
      <w:lvlText w:val="%4."/>
      <w:lvlJc w:val="left"/>
      <w:pPr>
        <w:ind w:left="2880" w:hanging="360"/>
      </w:pPr>
    </w:lvl>
    <w:lvl w:ilvl="4" w:tplc="219491D4">
      <w:start w:val="1"/>
      <w:numFmt w:val="lowerLetter"/>
      <w:lvlText w:val="%5."/>
      <w:lvlJc w:val="left"/>
      <w:pPr>
        <w:ind w:left="3600" w:hanging="360"/>
      </w:pPr>
    </w:lvl>
    <w:lvl w:ilvl="5" w:tplc="EF702D86">
      <w:start w:val="1"/>
      <w:numFmt w:val="lowerRoman"/>
      <w:lvlText w:val="%6."/>
      <w:lvlJc w:val="right"/>
      <w:pPr>
        <w:ind w:left="4320" w:hanging="180"/>
      </w:pPr>
    </w:lvl>
    <w:lvl w:ilvl="6" w:tplc="CEF67014">
      <w:start w:val="1"/>
      <w:numFmt w:val="decimal"/>
      <w:lvlText w:val="%7."/>
      <w:lvlJc w:val="left"/>
      <w:pPr>
        <w:ind w:left="5040" w:hanging="360"/>
      </w:pPr>
    </w:lvl>
    <w:lvl w:ilvl="7" w:tplc="45ECC4C8">
      <w:start w:val="1"/>
      <w:numFmt w:val="lowerLetter"/>
      <w:lvlText w:val="%8."/>
      <w:lvlJc w:val="left"/>
      <w:pPr>
        <w:ind w:left="5760" w:hanging="360"/>
      </w:pPr>
    </w:lvl>
    <w:lvl w:ilvl="8" w:tplc="C7DE2EBA">
      <w:start w:val="1"/>
      <w:numFmt w:val="lowerRoman"/>
      <w:lvlText w:val="%9."/>
      <w:lvlJc w:val="right"/>
      <w:pPr>
        <w:ind w:left="6480" w:hanging="180"/>
      </w:pPr>
    </w:lvl>
  </w:abstractNum>
  <w:abstractNum w:abstractNumId="3" w15:restartNumberingAfterBreak="0">
    <w:nsid w:val="21267909"/>
    <w:multiLevelType w:val="hybridMultilevel"/>
    <w:tmpl w:val="2F1C8B7A"/>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40C4AF4F"/>
    <w:multiLevelType w:val="hybridMultilevel"/>
    <w:tmpl w:val="5730233A"/>
    <w:lvl w:ilvl="0" w:tplc="E1BA5B20">
      <w:start w:val="1"/>
      <w:numFmt w:val="bullet"/>
      <w:lvlText w:val=""/>
      <w:lvlJc w:val="left"/>
      <w:pPr>
        <w:ind w:left="720" w:hanging="360"/>
      </w:pPr>
      <w:rPr>
        <w:rFonts w:ascii="Wingdings" w:hAnsi="Wingdings" w:hint="default"/>
      </w:rPr>
    </w:lvl>
    <w:lvl w:ilvl="1" w:tplc="493E5A96">
      <w:start w:val="1"/>
      <w:numFmt w:val="bullet"/>
      <w:lvlText w:val="o"/>
      <w:lvlJc w:val="left"/>
      <w:pPr>
        <w:ind w:left="1440" w:hanging="360"/>
      </w:pPr>
      <w:rPr>
        <w:rFonts w:ascii="Courier New" w:hAnsi="Courier New" w:cs="Times New Roman" w:hint="default"/>
      </w:rPr>
    </w:lvl>
    <w:lvl w:ilvl="2" w:tplc="CA44255E">
      <w:start w:val="1"/>
      <w:numFmt w:val="bullet"/>
      <w:lvlText w:val=""/>
      <w:lvlJc w:val="left"/>
      <w:pPr>
        <w:ind w:left="2160" w:hanging="360"/>
      </w:pPr>
      <w:rPr>
        <w:rFonts w:ascii="Wingdings" w:hAnsi="Wingdings" w:hint="default"/>
      </w:rPr>
    </w:lvl>
    <w:lvl w:ilvl="3" w:tplc="FC5CFCB8">
      <w:start w:val="1"/>
      <w:numFmt w:val="bullet"/>
      <w:lvlText w:val=""/>
      <w:lvlJc w:val="left"/>
      <w:pPr>
        <w:ind w:left="2880" w:hanging="360"/>
      </w:pPr>
      <w:rPr>
        <w:rFonts w:ascii="Symbol" w:hAnsi="Symbol" w:hint="default"/>
      </w:rPr>
    </w:lvl>
    <w:lvl w:ilvl="4" w:tplc="C630DB62">
      <w:start w:val="1"/>
      <w:numFmt w:val="bullet"/>
      <w:lvlText w:val="o"/>
      <w:lvlJc w:val="left"/>
      <w:pPr>
        <w:ind w:left="3600" w:hanging="360"/>
      </w:pPr>
      <w:rPr>
        <w:rFonts w:ascii="Courier New" w:hAnsi="Courier New" w:cs="Times New Roman" w:hint="default"/>
      </w:rPr>
    </w:lvl>
    <w:lvl w:ilvl="5" w:tplc="FECA4818">
      <w:start w:val="1"/>
      <w:numFmt w:val="bullet"/>
      <w:lvlText w:val=""/>
      <w:lvlJc w:val="left"/>
      <w:pPr>
        <w:ind w:left="4320" w:hanging="360"/>
      </w:pPr>
      <w:rPr>
        <w:rFonts w:ascii="Wingdings" w:hAnsi="Wingdings" w:hint="default"/>
      </w:rPr>
    </w:lvl>
    <w:lvl w:ilvl="6" w:tplc="562EAACA">
      <w:start w:val="1"/>
      <w:numFmt w:val="bullet"/>
      <w:lvlText w:val=""/>
      <w:lvlJc w:val="left"/>
      <w:pPr>
        <w:ind w:left="5040" w:hanging="360"/>
      </w:pPr>
      <w:rPr>
        <w:rFonts w:ascii="Symbol" w:hAnsi="Symbol" w:hint="default"/>
      </w:rPr>
    </w:lvl>
    <w:lvl w:ilvl="7" w:tplc="9EE66DFE">
      <w:start w:val="1"/>
      <w:numFmt w:val="bullet"/>
      <w:lvlText w:val="o"/>
      <w:lvlJc w:val="left"/>
      <w:pPr>
        <w:ind w:left="5760" w:hanging="360"/>
      </w:pPr>
      <w:rPr>
        <w:rFonts w:ascii="Courier New" w:hAnsi="Courier New" w:cs="Times New Roman" w:hint="default"/>
      </w:rPr>
    </w:lvl>
    <w:lvl w:ilvl="8" w:tplc="240A03FE">
      <w:start w:val="1"/>
      <w:numFmt w:val="bullet"/>
      <w:lvlText w:val=""/>
      <w:lvlJc w:val="left"/>
      <w:pPr>
        <w:ind w:left="6480" w:hanging="360"/>
      </w:pPr>
      <w:rPr>
        <w:rFonts w:ascii="Wingdings" w:hAnsi="Wingdings" w:hint="default"/>
      </w:rPr>
    </w:lvl>
  </w:abstractNum>
  <w:abstractNum w:abstractNumId="5" w15:restartNumberingAfterBreak="0">
    <w:nsid w:val="460E487A"/>
    <w:multiLevelType w:val="hybridMultilevel"/>
    <w:tmpl w:val="84C85BCA"/>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4CA067E3"/>
    <w:multiLevelType w:val="hybridMultilevel"/>
    <w:tmpl w:val="5718D05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560417BC"/>
    <w:multiLevelType w:val="hybridMultilevel"/>
    <w:tmpl w:val="85626C1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57085956"/>
    <w:multiLevelType w:val="hybridMultilevel"/>
    <w:tmpl w:val="9556A746"/>
    <w:lvl w:ilvl="0" w:tplc="A0D0FA08">
      <w:start w:val="1"/>
      <w:numFmt w:val="bullet"/>
      <w:lvlText w:val=""/>
      <w:lvlJc w:val="left"/>
      <w:pPr>
        <w:ind w:left="720" w:hanging="360"/>
      </w:pPr>
      <w:rPr>
        <w:rFonts w:ascii="Wingdings" w:hAnsi="Wingdings" w:hint="default"/>
      </w:rPr>
    </w:lvl>
    <w:lvl w:ilvl="1" w:tplc="95FA1378">
      <w:start w:val="1"/>
      <w:numFmt w:val="bullet"/>
      <w:lvlText w:val="o"/>
      <w:lvlJc w:val="left"/>
      <w:pPr>
        <w:ind w:left="1440" w:hanging="360"/>
      </w:pPr>
      <w:rPr>
        <w:rFonts w:ascii="Courier New" w:hAnsi="Courier New" w:cs="Times New Roman" w:hint="default"/>
      </w:rPr>
    </w:lvl>
    <w:lvl w:ilvl="2" w:tplc="60562E58">
      <w:start w:val="1"/>
      <w:numFmt w:val="bullet"/>
      <w:lvlText w:val=""/>
      <w:lvlJc w:val="left"/>
      <w:pPr>
        <w:ind w:left="2160" w:hanging="360"/>
      </w:pPr>
      <w:rPr>
        <w:rFonts w:ascii="Wingdings" w:hAnsi="Wingdings" w:hint="default"/>
      </w:rPr>
    </w:lvl>
    <w:lvl w:ilvl="3" w:tplc="75B63278">
      <w:start w:val="1"/>
      <w:numFmt w:val="bullet"/>
      <w:lvlText w:val=""/>
      <w:lvlJc w:val="left"/>
      <w:pPr>
        <w:ind w:left="2880" w:hanging="360"/>
      </w:pPr>
      <w:rPr>
        <w:rFonts w:ascii="Symbol" w:hAnsi="Symbol" w:hint="default"/>
      </w:rPr>
    </w:lvl>
    <w:lvl w:ilvl="4" w:tplc="6C8CAE24">
      <w:start w:val="1"/>
      <w:numFmt w:val="bullet"/>
      <w:lvlText w:val="o"/>
      <w:lvlJc w:val="left"/>
      <w:pPr>
        <w:ind w:left="3600" w:hanging="360"/>
      </w:pPr>
      <w:rPr>
        <w:rFonts w:ascii="Courier New" w:hAnsi="Courier New" w:cs="Times New Roman" w:hint="default"/>
      </w:rPr>
    </w:lvl>
    <w:lvl w:ilvl="5" w:tplc="0E86ADCC">
      <w:start w:val="1"/>
      <w:numFmt w:val="bullet"/>
      <w:lvlText w:val=""/>
      <w:lvlJc w:val="left"/>
      <w:pPr>
        <w:ind w:left="4320" w:hanging="360"/>
      </w:pPr>
      <w:rPr>
        <w:rFonts w:ascii="Wingdings" w:hAnsi="Wingdings" w:hint="default"/>
      </w:rPr>
    </w:lvl>
    <w:lvl w:ilvl="6" w:tplc="D9FC195C">
      <w:start w:val="1"/>
      <w:numFmt w:val="bullet"/>
      <w:lvlText w:val=""/>
      <w:lvlJc w:val="left"/>
      <w:pPr>
        <w:ind w:left="5040" w:hanging="360"/>
      </w:pPr>
      <w:rPr>
        <w:rFonts w:ascii="Symbol" w:hAnsi="Symbol" w:hint="default"/>
      </w:rPr>
    </w:lvl>
    <w:lvl w:ilvl="7" w:tplc="27A42D70">
      <w:start w:val="1"/>
      <w:numFmt w:val="bullet"/>
      <w:lvlText w:val="o"/>
      <w:lvlJc w:val="left"/>
      <w:pPr>
        <w:ind w:left="5760" w:hanging="360"/>
      </w:pPr>
      <w:rPr>
        <w:rFonts w:ascii="Courier New" w:hAnsi="Courier New" w:cs="Times New Roman" w:hint="default"/>
      </w:rPr>
    </w:lvl>
    <w:lvl w:ilvl="8" w:tplc="83F0F548">
      <w:start w:val="1"/>
      <w:numFmt w:val="bullet"/>
      <w:lvlText w:val=""/>
      <w:lvlJc w:val="left"/>
      <w:pPr>
        <w:ind w:left="6480" w:hanging="360"/>
      </w:pPr>
      <w:rPr>
        <w:rFonts w:ascii="Wingdings" w:hAnsi="Wingdings" w:hint="default"/>
      </w:rPr>
    </w:lvl>
  </w:abstractNum>
  <w:abstractNum w:abstractNumId="9" w15:restartNumberingAfterBreak="0">
    <w:nsid w:val="656FB38C"/>
    <w:multiLevelType w:val="hybridMultilevel"/>
    <w:tmpl w:val="89A28DE2"/>
    <w:lvl w:ilvl="0" w:tplc="B3149C12">
      <w:start w:val="1"/>
      <w:numFmt w:val="bullet"/>
      <w:lvlText w:val=""/>
      <w:lvlJc w:val="left"/>
      <w:pPr>
        <w:ind w:left="720" w:hanging="360"/>
      </w:pPr>
      <w:rPr>
        <w:rFonts w:ascii="Symbol" w:hAnsi="Symbol" w:hint="default"/>
      </w:rPr>
    </w:lvl>
    <w:lvl w:ilvl="1" w:tplc="06425A70">
      <w:start w:val="1"/>
      <w:numFmt w:val="bullet"/>
      <w:lvlText w:val="o"/>
      <w:lvlJc w:val="left"/>
      <w:pPr>
        <w:ind w:left="1440" w:hanging="360"/>
      </w:pPr>
      <w:rPr>
        <w:rFonts w:ascii="Courier New" w:hAnsi="Courier New" w:cs="Times New Roman" w:hint="default"/>
      </w:rPr>
    </w:lvl>
    <w:lvl w:ilvl="2" w:tplc="EE26D264">
      <w:start w:val="1"/>
      <w:numFmt w:val="bullet"/>
      <w:lvlText w:val=""/>
      <w:lvlJc w:val="left"/>
      <w:pPr>
        <w:ind w:left="2160" w:hanging="360"/>
      </w:pPr>
      <w:rPr>
        <w:rFonts w:ascii="Wingdings" w:hAnsi="Wingdings" w:hint="default"/>
      </w:rPr>
    </w:lvl>
    <w:lvl w:ilvl="3" w:tplc="F854303E">
      <w:start w:val="1"/>
      <w:numFmt w:val="bullet"/>
      <w:lvlText w:val=""/>
      <w:lvlJc w:val="left"/>
      <w:pPr>
        <w:ind w:left="2880" w:hanging="360"/>
      </w:pPr>
      <w:rPr>
        <w:rFonts w:ascii="Symbol" w:hAnsi="Symbol" w:hint="default"/>
      </w:rPr>
    </w:lvl>
    <w:lvl w:ilvl="4" w:tplc="1ECCECB0">
      <w:start w:val="1"/>
      <w:numFmt w:val="bullet"/>
      <w:lvlText w:val="o"/>
      <w:lvlJc w:val="left"/>
      <w:pPr>
        <w:ind w:left="3600" w:hanging="360"/>
      </w:pPr>
      <w:rPr>
        <w:rFonts w:ascii="Courier New" w:hAnsi="Courier New" w:cs="Times New Roman" w:hint="default"/>
      </w:rPr>
    </w:lvl>
    <w:lvl w:ilvl="5" w:tplc="CADC1526">
      <w:start w:val="1"/>
      <w:numFmt w:val="bullet"/>
      <w:lvlText w:val=""/>
      <w:lvlJc w:val="left"/>
      <w:pPr>
        <w:ind w:left="4320" w:hanging="360"/>
      </w:pPr>
      <w:rPr>
        <w:rFonts w:ascii="Wingdings" w:hAnsi="Wingdings" w:hint="default"/>
      </w:rPr>
    </w:lvl>
    <w:lvl w:ilvl="6" w:tplc="CA2C9E20">
      <w:start w:val="1"/>
      <w:numFmt w:val="bullet"/>
      <w:lvlText w:val=""/>
      <w:lvlJc w:val="left"/>
      <w:pPr>
        <w:ind w:left="5040" w:hanging="360"/>
      </w:pPr>
      <w:rPr>
        <w:rFonts w:ascii="Symbol" w:hAnsi="Symbol" w:hint="default"/>
      </w:rPr>
    </w:lvl>
    <w:lvl w:ilvl="7" w:tplc="B816B328">
      <w:start w:val="1"/>
      <w:numFmt w:val="bullet"/>
      <w:lvlText w:val="o"/>
      <w:lvlJc w:val="left"/>
      <w:pPr>
        <w:ind w:left="5760" w:hanging="360"/>
      </w:pPr>
      <w:rPr>
        <w:rFonts w:ascii="Courier New" w:hAnsi="Courier New" w:cs="Times New Roman" w:hint="default"/>
      </w:rPr>
    </w:lvl>
    <w:lvl w:ilvl="8" w:tplc="B9F0BC6C">
      <w:start w:val="1"/>
      <w:numFmt w:val="bullet"/>
      <w:lvlText w:val=""/>
      <w:lvlJc w:val="left"/>
      <w:pPr>
        <w:ind w:left="6480" w:hanging="360"/>
      </w:pPr>
      <w:rPr>
        <w:rFonts w:ascii="Wingdings" w:hAnsi="Wingdings" w:hint="default"/>
      </w:rPr>
    </w:lvl>
  </w:abstractNum>
  <w:abstractNum w:abstractNumId="10" w15:restartNumberingAfterBreak="0">
    <w:nsid w:val="76543696"/>
    <w:multiLevelType w:val="hybridMultilevel"/>
    <w:tmpl w:val="CEDEB5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778333197">
    <w:abstractNumId w:val="4"/>
  </w:num>
  <w:num w:numId="2" w16cid:durableId="5134726">
    <w:abstractNumId w:val="1"/>
  </w:num>
  <w:num w:numId="3" w16cid:durableId="1495949871">
    <w:abstractNumId w:val="9"/>
  </w:num>
  <w:num w:numId="4" w16cid:durableId="11270906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569579645">
    <w:abstractNumId w:val="0"/>
  </w:num>
  <w:num w:numId="6" w16cid:durableId="87041634">
    <w:abstractNumId w:val="8"/>
  </w:num>
  <w:num w:numId="7" w16cid:durableId="1392189855">
    <w:abstractNumId w:val="10"/>
  </w:num>
  <w:num w:numId="8" w16cid:durableId="1502350557">
    <w:abstractNumId w:val="3"/>
  </w:num>
  <w:num w:numId="9" w16cid:durableId="613287326">
    <w:abstractNumId w:val="5"/>
  </w:num>
  <w:num w:numId="10" w16cid:durableId="867181328">
    <w:abstractNumId w:val="6"/>
  </w:num>
  <w:num w:numId="11" w16cid:durableId="60045160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compat>
    <w:compatSetting w:name="compatibilityMode" w:uri="http://schemas.microsoft.com/office/word" w:val="12"/>
    <w:compatSetting w:name="useWord2013TrackBottomHyphenation" w:uri="http://schemas.microsoft.com/office/word" w:val="1"/>
  </w:compat>
  <w:rsids>
    <w:rsidRoot w:val="00230801"/>
    <w:rsid w:val="000C1561"/>
    <w:rsid w:val="00111ECC"/>
    <w:rsid w:val="00170678"/>
    <w:rsid w:val="00170B14"/>
    <w:rsid w:val="00182764"/>
    <w:rsid w:val="00230801"/>
    <w:rsid w:val="002A4734"/>
    <w:rsid w:val="00302D6E"/>
    <w:rsid w:val="00376F24"/>
    <w:rsid w:val="00386922"/>
    <w:rsid w:val="003A0BC4"/>
    <w:rsid w:val="003A6534"/>
    <w:rsid w:val="00417634"/>
    <w:rsid w:val="0048382A"/>
    <w:rsid w:val="004C6514"/>
    <w:rsid w:val="00511E66"/>
    <w:rsid w:val="00572192"/>
    <w:rsid w:val="005735CC"/>
    <w:rsid w:val="006361DD"/>
    <w:rsid w:val="00656159"/>
    <w:rsid w:val="0073153E"/>
    <w:rsid w:val="007657AD"/>
    <w:rsid w:val="00785707"/>
    <w:rsid w:val="00830EAB"/>
    <w:rsid w:val="00915DD8"/>
    <w:rsid w:val="009261D3"/>
    <w:rsid w:val="00955858"/>
    <w:rsid w:val="00985E44"/>
    <w:rsid w:val="00A350A9"/>
    <w:rsid w:val="00A47C15"/>
    <w:rsid w:val="00B50326"/>
    <w:rsid w:val="00B708F5"/>
    <w:rsid w:val="00B720CA"/>
    <w:rsid w:val="00B81E0A"/>
    <w:rsid w:val="00B915EB"/>
    <w:rsid w:val="00BF47D6"/>
    <w:rsid w:val="00C1572F"/>
    <w:rsid w:val="00C2493F"/>
    <w:rsid w:val="00C306D5"/>
    <w:rsid w:val="00C446D8"/>
    <w:rsid w:val="00C5231B"/>
    <w:rsid w:val="00D90309"/>
    <w:rsid w:val="00E614F6"/>
    <w:rsid w:val="00E93A90"/>
    <w:rsid w:val="00EA247D"/>
    <w:rsid w:val="00ED6C29"/>
    <w:rsid w:val="00F01818"/>
    <w:rsid w:val="00F107AE"/>
    <w:rsid w:val="00F14BE1"/>
    <w:rsid w:val="00F24031"/>
    <w:rsid w:val="00F25879"/>
    <w:rsid w:val="00F5285B"/>
    <w:rsid w:val="00F71B80"/>
    <w:rsid w:val="00F87BB3"/>
    <w:rsid w:val="00FB2A9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E8B4E"/>
  <w15:docId w15:val="{F88E139A-E859-447F-9C98-B26C3F8C5E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it-I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23080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23080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230801"/>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230801"/>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230801"/>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230801"/>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230801"/>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230801"/>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230801"/>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230801"/>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230801"/>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230801"/>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230801"/>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230801"/>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230801"/>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230801"/>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230801"/>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230801"/>
    <w:rPr>
      <w:rFonts w:eastAsiaTheme="majorEastAsia" w:cstheme="majorBidi"/>
      <w:color w:val="272727" w:themeColor="text1" w:themeTint="D8"/>
    </w:rPr>
  </w:style>
  <w:style w:type="paragraph" w:styleId="Titolo">
    <w:name w:val="Title"/>
    <w:basedOn w:val="Normale"/>
    <w:next w:val="Normale"/>
    <w:link w:val="TitoloCarattere"/>
    <w:uiPriority w:val="10"/>
    <w:qFormat/>
    <w:rsid w:val="0023080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230801"/>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230801"/>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230801"/>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230801"/>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230801"/>
    <w:rPr>
      <w:i/>
      <w:iCs/>
      <w:color w:val="404040" w:themeColor="text1" w:themeTint="BF"/>
    </w:rPr>
  </w:style>
  <w:style w:type="paragraph" w:styleId="Paragrafoelenco">
    <w:name w:val="List Paragraph"/>
    <w:basedOn w:val="Normale"/>
    <w:uiPriority w:val="34"/>
    <w:qFormat/>
    <w:rsid w:val="00230801"/>
    <w:pPr>
      <w:ind w:left="720"/>
      <w:contextualSpacing/>
    </w:pPr>
  </w:style>
  <w:style w:type="character" w:styleId="Enfasiintensa">
    <w:name w:val="Intense Emphasis"/>
    <w:basedOn w:val="Carpredefinitoparagrafo"/>
    <w:uiPriority w:val="21"/>
    <w:qFormat/>
    <w:rsid w:val="00230801"/>
    <w:rPr>
      <w:i/>
      <w:iCs/>
      <w:color w:val="0F4761" w:themeColor="accent1" w:themeShade="BF"/>
    </w:rPr>
  </w:style>
  <w:style w:type="paragraph" w:styleId="Citazioneintensa">
    <w:name w:val="Intense Quote"/>
    <w:basedOn w:val="Normale"/>
    <w:next w:val="Normale"/>
    <w:link w:val="CitazioneintensaCarattere"/>
    <w:uiPriority w:val="30"/>
    <w:qFormat/>
    <w:rsid w:val="0023080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230801"/>
    <w:rPr>
      <w:i/>
      <w:iCs/>
      <w:color w:val="0F4761" w:themeColor="accent1" w:themeShade="BF"/>
    </w:rPr>
  </w:style>
  <w:style w:type="character" w:styleId="Riferimentointenso">
    <w:name w:val="Intense Reference"/>
    <w:basedOn w:val="Carpredefinitoparagrafo"/>
    <w:uiPriority w:val="32"/>
    <w:qFormat/>
    <w:rsid w:val="00230801"/>
    <w:rPr>
      <w:b/>
      <w:bCs/>
      <w:smallCaps/>
      <w:color w:val="0F4761" w:themeColor="accent1" w:themeShade="BF"/>
      <w:spacing w:val="5"/>
    </w:rPr>
  </w:style>
  <w:style w:type="paragraph" w:styleId="NormaleWeb">
    <w:name w:val="Normal (Web)"/>
    <w:basedOn w:val="Normale"/>
    <w:uiPriority w:val="99"/>
    <w:unhideWhenUsed/>
    <w:rsid w:val="00230801"/>
    <w:pPr>
      <w:spacing w:before="100" w:beforeAutospacing="1" w:after="100" w:afterAutospacing="1" w:line="240" w:lineRule="auto"/>
    </w:pPr>
    <w:rPr>
      <w:rFonts w:ascii="Times New Roman" w:eastAsia="Times New Roman" w:hAnsi="Times New Roman" w:cs="Times New Roman"/>
      <w:kern w:val="0"/>
      <w:lang w:eastAsia="it-IT"/>
      <w14:ligatures w14:val="none"/>
    </w:rPr>
  </w:style>
  <w:style w:type="character" w:customStyle="1" w:styleId="h3">
    <w:name w:val="h3"/>
    <w:basedOn w:val="Carpredefinitoparagrafo"/>
    <w:rsid w:val="00230801"/>
  </w:style>
  <w:style w:type="character" w:styleId="Enfasigrassetto">
    <w:name w:val="Strong"/>
    <w:basedOn w:val="Carpredefinitoparagrafo"/>
    <w:uiPriority w:val="22"/>
    <w:qFormat/>
    <w:rsid w:val="00230801"/>
    <w:rPr>
      <w:b/>
      <w:bCs/>
    </w:rPr>
  </w:style>
  <w:style w:type="character" w:styleId="Collegamentoipertestuale">
    <w:name w:val="Hyperlink"/>
    <w:basedOn w:val="Carpredefinitoparagrafo"/>
    <w:uiPriority w:val="99"/>
    <w:semiHidden/>
    <w:unhideWhenUsed/>
    <w:rsid w:val="00B50326"/>
    <w:rPr>
      <w:color w:val="0000FF"/>
      <w:u w:val="single"/>
    </w:rPr>
  </w:style>
  <w:style w:type="paragraph" w:customStyle="1" w:styleId="sc-jhkvzv">
    <w:name w:val="sc-jhkvzv"/>
    <w:basedOn w:val="Normale"/>
    <w:rsid w:val="00915DD8"/>
    <w:pPr>
      <w:spacing w:before="100" w:beforeAutospacing="1" w:after="100" w:afterAutospacing="1" w:line="240" w:lineRule="auto"/>
    </w:pPr>
    <w:rPr>
      <w:rFonts w:ascii="Times New Roman" w:eastAsia="Times New Roman" w:hAnsi="Times New Roman" w:cs="Times New Roman"/>
      <w:kern w:val="0"/>
      <w:lang w:eastAsia="it-IT"/>
    </w:rPr>
  </w:style>
  <w:style w:type="character" w:customStyle="1" w:styleId="sc-fiosxk">
    <w:name w:val="sc-fiosxk"/>
    <w:basedOn w:val="Carpredefinitoparagrafo"/>
    <w:rsid w:val="00915D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2136153">
      <w:bodyDiv w:val="1"/>
      <w:marLeft w:val="0"/>
      <w:marRight w:val="0"/>
      <w:marTop w:val="0"/>
      <w:marBottom w:val="0"/>
      <w:divBdr>
        <w:top w:val="none" w:sz="0" w:space="0" w:color="auto"/>
        <w:left w:val="none" w:sz="0" w:space="0" w:color="auto"/>
        <w:bottom w:val="none" w:sz="0" w:space="0" w:color="auto"/>
        <w:right w:val="none" w:sz="0" w:space="0" w:color="auto"/>
      </w:divBdr>
    </w:div>
    <w:div w:id="521431417">
      <w:bodyDiv w:val="1"/>
      <w:marLeft w:val="0"/>
      <w:marRight w:val="0"/>
      <w:marTop w:val="0"/>
      <w:marBottom w:val="0"/>
      <w:divBdr>
        <w:top w:val="none" w:sz="0" w:space="0" w:color="auto"/>
        <w:left w:val="none" w:sz="0" w:space="0" w:color="auto"/>
        <w:bottom w:val="none" w:sz="0" w:space="0" w:color="auto"/>
        <w:right w:val="none" w:sz="0" w:space="0" w:color="auto"/>
      </w:divBdr>
    </w:div>
    <w:div w:id="596717591">
      <w:bodyDiv w:val="1"/>
      <w:marLeft w:val="0"/>
      <w:marRight w:val="0"/>
      <w:marTop w:val="0"/>
      <w:marBottom w:val="0"/>
      <w:divBdr>
        <w:top w:val="none" w:sz="0" w:space="0" w:color="auto"/>
        <w:left w:val="none" w:sz="0" w:space="0" w:color="auto"/>
        <w:bottom w:val="none" w:sz="0" w:space="0" w:color="auto"/>
        <w:right w:val="none" w:sz="0" w:space="0" w:color="auto"/>
      </w:divBdr>
    </w:div>
    <w:div w:id="651983135">
      <w:bodyDiv w:val="1"/>
      <w:marLeft w:val="0"/>
      <w:marRight w:val="0"/>
      <w:marTop w:val="0"/>
      <w:marBottom w:val="0"/>
      <w:divBdr>
        <w:top w:val="none" w:sz="0" w:space="0" w:color="auto"/>
        <w:left w:val="none" w:sz="0" w:space="0" w:color="auto"/>
        <w:bottom w:val="none" w:sz="0" w:space="0" w:color="auto"/>
        <w:right w:val="none" w:sz="0" w:space="0" w:color="auto"/>
      </w:divBdr>
    </w:div>
    <w:div w:id="659430936">
      <w:bodyDiv w:val="1"/>
      <w:marLeft w:val="0"/>
      <w:marRight w:val="0"/>
      <w:marTop w:val="0"/>
      <w:marBottom w:val="0"/>
      <w:divBdr>
        <w:top w:val="none" w:sz="0" w:space="0" w:color="auto"/>
        <w:left w:val="none" w:sz="0" w:space="0" w:color="auto"/>
        <w:bottom w:val="none" w:sz="0" w:space="0" w:color="auto"/>
        <w:right w:val="none" w:sz="0" w:space="0" w:color="auto"/>
      </w:divBdr>
    </w:div>
    <w:div w:id="749931376">
      <w:bodyDiv w:val="1"/>
      <w:marLeft w:val="0"/>
      <w:marRight w:val="0"/>
      <w:marTop w:val="0"/>
      <w:marBottom w:val="0"/>
      <w:divBdr>
        <w:top w:val="none" w:sz="0" w:space="0" w:color="auto"/>
        <w:left w:val="none" w:sz="0" w:space="0" w:color="auto"/>
        <w:bottom w:val="none" w:sz="0" w:space="0" w:color="auto"/>
        <w:right w:val="none" w:sz="0" w:space="0" w:color="auto"/>
      </w:divBdr>
    </w:div>
    <w:div w:id="17124147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economiapertutti.bancaditalia.it/glossario/?letter=S" TargetMode="External"/><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esgnews.it/sustainability-week/le-novita-della-sustainable-finance-partnership-liniziativa-di-borsa-italiana-per-la-finanza-esg/" TargetMode="External"/><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hyperlink" Target="https://economiapertutti.bancaditalia.it/glossario/?letter=A" TargetMode="External"/><Relationship Id="rId25"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hyperlink" Target="https://unric.org/it/agenda-2030/?nowprocket=1" TargetMode="External"/><Relationship Id="rId20" Type="http://schemas.openxmlformats.org/officeDocument/2006/relationships/hyperlink" Target="https://www.borsaitaliana.it/finanza-sostenibile/statistiche/home.htm"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jpeg"/><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hyperlink" Target="https://www.globalcompactnetwork.org/it/il-global-compact-ita/i-dieci-principi/introduzione.html" TargetMode="External"/><Relationship Id="rId23" Type="http://schemas.openxmlformats.org/officeDocument/2006/relationships/image" Target="media/image8.jpeg"/><Relationship Id="rId10" Type="http://schemas.openxmlformats.org/officeDocument/2006/relationships/image" Target="media/image4.png"/><Relationship Id="rId19" Type="http://schemas.openxmlformats.org/officeDocument/2006/relationships/hyperlink" Target="https://www.borsaitaliana.it/notizie/finanza-sostenibile/home-page/home.htm" TargetMode="External"/><Relationship Id="rId4" Type="http://schemas.openxmlformats.org/officeDocument/2006/relationships/settings" Target="settings.xml"/><Relationship Id="rId9" Type="http://schemas.openxmlformats.org/officeDocument/2006/relationships/hyperlink" Target="https://it.wikipedia.org/wiki/Titolo_di_Stato" TargetMode="External"/><Relationship Id="rId14" Type="http://schemas.openxmlformats.org/officeDocument/2006/relationships/hyperlink" Target="https://economiapertutti.bancaditalia.it/glossario/?letter=N" TargetMode="External"/><Relationship Id="rId22" Type="http://schemas.openxmlformats.org/officeDocument/2006/relationships/hyperlink" Target="https://www.borsaitaliana.it/notizie/finanza-sostenibile/home-page/home.htm" TargetMode="External"/><Relationship Id="rId27"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C1E221-EFE9-4A1C-AD5A-DAD14E802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5682</TotalTime>
  <Pages>1</Pages>
  <Words>3343</Words>
  <Characters>19061</Characters>
  <Application>Microsoft Office Word</Application>
  <DocSecurity>0</DocSecurity>
  <Lines>158</Lines>
  <Paragraphs>44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22360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Bonibaldoni</dc:creator>
  <cp:keywords/>
  <dc:description/>
  <cp:lastModifiedBy>Anna Bonibaldoni</cp:lastModifiedBy>
  <cp:revision>5</cp:revision>
  <dcterms:created xsi:type="dcterms:W3CDTF">2024-05-22T10:43:00Z</dcterms:created>
  <dcterms:modified xsi:type="dcterms:W3CDTF">2024-06-13T11:39:00Z</dcterms:modified>
</cp:coreProperties>
</file>