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0FC49C" w14:textId="7C085C08" w:rsidR="00892400" w:rsidRDefault="00AA1D10" w:rsidP="00AA1D10">
      <w:pPr>
        <w:jc w:val="center"/>
        <w:rPr>
          <w:rFonts w:ascii="Imprint MT Shadow" w:hAnsi="Imprint MT Shadow" w:cs="JasmineUPC"/>
          <w:sz w:val="56"/>
          <w:szCs w:val="56"/>
        </w:rPr>
      </w:pPr>
      <w:bookmarkStart w:id="0" w:name="_Hlk168513103"/>
      <w:bookmarkEnd w:id="0"/>
      <w:r w:rsidRPr="00AA1D10">
        <w:rPr>
          <w:rFonts w:ascii="Imprint MT Shadow" w:hAnsi="Imprint MT Shadow" w:cs="JasmineUPC"/>
          <w:sz w:val="56"/>
          <w:szCs w:val="56"/>
        </w:rPr>
        <w:t>Borsa valori</w:t>
      </w:r>
      <w:r w:rsidR="0071747B">
        <w:rPr>
          <w:rFonts w:ascii="Imprint MT Shadow" w:hAnsi="Imprint MT Shadow" w:cs="JasmineUPC"/>
          <w:sz w:val="56"/>
          <w:szCs w:val="56"/>
        </w:rPr>
        <w:t xml:space="preserve"> e </w:t>
      </w:r>
      <w:r w:rsidR="00BE64EA">
        <w:rPr>
          <w:rFonts w:ascii="Imprint MT Shadow" w:hAnsi="Imprint MT Shadow" w:cs="JasmineUPC"/>
          <w:sz w:val="56"/>
          <w:szCs w:val="56"/>
        </w:rPr>
        <w:t>i suoi rapporti</w:t>
      </w:r>
      <w:r w:rsidR="00E87408">
        <w:rPr>
          <w:rFonts w:ascii="Imprint MT Shadow" w:hAnsi="Imprint MT Shadow" w:cs="JasmineUPC"/>
          <w:sz w:val="56"/>
          <w:szCs w:val="56"/>
        </w:rPr>
        <w:t xml:space="preserve"> con le imprese, la finanza sostenibile e gli strumenti finanziari</w:t>
      </w:r>
    </w:p>
    <w:p w14:paraId="421DF764" w14:textId="77777777" w:rsidR="0005683C" w:rsidRDefault="0005683C" w:rsidP="0005683C">
      <w:pPr>
        <w:pStyle w:val="Paragrafoelenco"/>
        <w:ind w:left="360"/>
        <w:rPr>
          <w:rFonts w:cstheme="minorHAnsi"/>
          <w:b/>
          <w:bCs/>
          <w:color w:val="FFF2CC" w:themeColor="accent4" w:themeTint="33"/>
          <w:sz w:val="28"/>
          <w:szCs w:val="28"/>
          <w14:shadow w14:blurRad="0" w14:dist="38100" w14:dir="2700000" w14:sx="100000" w14:sy="100000" w14:kx="0" w14:ky="0" w14:algn="tl">
            <w14:schemeClr w14:val="accent2"/>
          </w14:shadow>
          <w14:reflection w14:blurRad="6350" w14:stA="55000" w14:stPos="0" w14:endA="50" w14:endPos="85000" w14:dist="60007" w14:dir="5400000" w14:fadeDir="5400000" w14:sx="100000" w14:sy="-100000" w14:kx="0" w14:ky="0" w14:algn="bl"/>
          <w14:textOutline w14:w="6604" w14:cap="flat" w14:cmpd="sng" w14:algn="ctr">
            <w14:solidFill>
              <w14:schemeClr w14:val="accent2"/>
            </w14:solidFill>
            <w14:prstDash w14:val="solid"/>
            <w14:round/>
          </w14:textOutline>
        </w:rPr>
      </w:pPr>
    </w:p>
    <w:p w14:paraId="497F7CD6" w14:textId="579CC3B1" w:rsidR="0005683C" w:rsidRPr="00E26BD8" w:rsidRDefault="0049140B" w:rsidP="003016F3">
      <w:pPr>
        <w:pStyle w:val="Paragrafoelenco"/>
        <w:numPr>
          <w:ilvl w:val="0"/>
          <w:numId w:val="2"/>
        </w:numPr>
        <w:spacing w:line="336" w:lineRule="auto"/>
        <w:ind w:left="357" w:hanging="357"/>
        <w:rPr>
          <w:rFonts w:cstheme="minorHAnsi"/>
          <w:b/>
          <w:bCs/>
          <w:color w:val="FFF2CC" w:themeColor="accent4" w:themeTint="33"/>
          <w:sz w:val="32"/>
          <w:szCs w:val="32"/>
          <w14:shadow w14:blurRad="0" w14:dist="38100" w14:dir="2700000" w14:sx="100000" w14:sy="100000" w14:kx="0" w14:ky="0" w14:algn="tl">
            <w14:schemeClr w14:val="accent2"/>
          </w14:shadow>
          <w14:reflection w14:blurRad="6350" w14:stA="55000" w14:stPos="0" w14:endA="50" w14:endPos="85000" w14:dist="60007" w14:dir="5400000" w14:fadeDir="5400000" w14:sx="100000" w14:sy="-100000" w14:kx="0" w14:ky="0" w14:algn="bl"/>
          <w14:textOutline w14:w="6604" w14:cap="flat" w14:cmpd="sng" w14:algn="ctr">
            <w14:solidFill>
              <w14:schemeClr w14:val="accent2"/>
            </w14:solidFill>
            <w14:prstDash w14:val="solid"/>
            <w14:round/>
          </w14:textOutline>
        </w:rPr>
      </w:pPr>
      <w:r w:rsidRPr="00E26BD8">
        <w:rPr>
          <w:rFonts w:cstheme="minorHAnsi"/>
          <w:b/>
          <w:bCs/>
          <w:color w:val="FFF2CC" w:themeColor="accent4" w:themeTint="33"/>
          <w:sz w:val="32"/>
          <w:szCs w:val="32"/>
          <w14:shadow w14:blurRad="0" w14:dist="38100" w14:dir="2700000" w14:sx="100000" w14:sy="100000" w14:kx="0" w14:ky="0" w14:algn="tl">
            <w14:schemeClr w14:val="accent2"/>
          </w14:shadow>
          <w14:reflection w14:blurRad="6350" w14:stA="55000" w14:stPos="0" w14:endA="50" w14:endPos="85000" w14:dist="60007" w14:dir="5400000" w14:fadeDir="5400000" w14:sx="100000" w14:sy="-100000" w14:kx="0" w14:ky="0" w14:algn="bl"/>
          <w14:textOutline w14:w="6604" w14:cap="flat" w14:cmpd="sng" w14:algn="ctr">
            <w14:solidFill>
              <w14:schemeClr w14:val="accent2"/>
            </w14:solidFill>
            <w14:prstDash w14:val="solid"/>
            <w14:round/>
          </w14:textOutline>
        </w:rPr>
        <w:t xml:space="preserve">La nascita della Borsa </w:t>
      </w:r>
      <w:r w:rsidR="002060E3" w:rsidRPr="00E26BD8">
        <w:rPr>
          <w:rFonts w:cstheme="minorHAnsi"/>
          <w:b/>
          <w:bCs/>
          <w:color w:val="FFF2CC" w:themeColor="accent4" w:themeTint="33"/>
          <w:sz w:val="32"/>
          <w:szCs w:val="32"/>
          <w14:shadow w14:blurRad="0" w14:dist="38100" w14:dir="2700000" w14:sx="100000" w14:sy="100000" w14:kx="0" w14:ky="0" w14:algn="tl">
            <w14:schemeClr w14:val="accent2"/>
          </w14:shadow>
          <w14:reflection w14:blurRad="6350" w14:stA="55000" w14:stPos="0" w14:endA="50" w14:endPos="85000" w14:dist="60007" w14:dir="5400000" w14:fadeDir="5400000" w14:sx="100000" w14:sy="-100000" w14:kx="0" w14:ky="0" w14:algn="bl"/>
          <w14:textOutline w14:w="6604" w14:cap="flat" w14:cmpd="sng" w14:algn="ctr">
            <w14:solidFill>
              <w14:schemeClr w14:val="accent2"/>
            </w14:solidFill>
            <w14:prstDash w14:val="solid"/>
            <w14:round/>
          </w14:textOutline>
        </w:rPr>
        <w:t>v</w:t>
      </w:r>
      <w:r w:rsidRPr="00E26BD8">
        <w:rPr>
          <w:rFonts w:cstheme="minorHAnsi"/>
          <w:b/>
          <w:bCs/>
          <w:color w:val="FFF2CC" w:themeColor="accent4" w:themeTint="33"/>
          <w:sz w:val="32"/>
          <w:szCs w:val="32"/>
          <w14:shadow w14:blurRad="0" w14:dist="38100" w14:dir="2700000" w14:sx="100000" w14:sy="100000" w14:kx="0" w14:ky="0" w14:algn="tl">
            <w14:schemeClr w14:val="accent2"/>
          </w14:shadow>
          <w14:reflection w14:blurRad="6350" w14:stA="55000" w14:stPos="0" w14:endA="50" w14:endPos="85000" w14:dist="60007" w14:dir="5400000" w14:fadeDir="5400000" w14:sx="100000" w14:sy="-100000" w14:kx="0" w14:ky="0" w14:algn="bl"/>
          <w14:textOutline w14:w="6604" w14:cap="flat" w14:cmpd="sng" w14:algn="ctr">
            <w14:solidFill>
              <w14:schemeClr w14:val="accent2"/>
            </w14:solidFill>
            <w14:prstDash w14:val="solid"/>
            <w14:round/>
          </w14:textOutline>
        </w:rPr>
        <w:t>alori</w:t>
      </w:r>
    </w:p>
    <w:p w14:paraId="5808FB71" w14:textId="108643FB" w:rsidR="00D00A10" w:rsidRDefault="00CF6186" w:rsidP="575BAD95">
      <w:pPr>
        <w:spacing w:before="240" w:after="0" w:line="276" w:lineRule="auto"/>
        <w:rPr>
          <w:i/>
          <w:iCs/>
          <w:sz w:val="24"/>
          <w:szCs w:val="24"/>
        </w:rPr>
      </w:pPr>
      <w:r w:rsidRPr="575BAD95">
        <w:rPr>
          <w:i/>
          <w:iCs/>
          <w:sz w:val="24"/>
          <w:szCs w:val="24"/>
        </w:rPr>
        <w:t>Per quanto i mercati finanziari possano</w:t>
      </w:r>
      <w:r w:rsidR="7F738A8E" w:rsidRPr="575BAD95">
        <w:rPr>
          <w:i/>
          <w:iCs/>
          <w:sz w:val="24"/>
          <w:szCs w:val="24"/>
        </w:rPr>
        <w:t xml:space="preserve"> </w:t>
      </w:r>
      <w:r w:rsidRPr="575BAD95">
        <w:rPr>
          <w:i/>
          <w:iCs/>
          <w:sz w:val="24"/>
          <w:szCs w:val="24"/>
        </w:rPr>
        <w:t>sembrare moderni e di recente istituzione dobbiamo rilevare tuttavia quanto le loro origini siano ben radicate nel passato e il loro sviluppo sia direttamente collegato con l’evoluzione del commercio</w:t>
      </w:r>
      <w:r w:rsidR="00E26AA8" w:rsidRPr="575BAD95">
        <w:rPr>
          <w:i/>
          <w:iCs/>
          <w:sz w:val="24"/>
          <w:szCs w:val="24"/>
        </w:rPr>
        <w:t>.</w:t>
      </w:r>
    </w:p>
    <w:p w14:paraId="307DE5D6" w14:textId="542BEEFC" w:rsidR="00FC5E3D" w:rsidRPr="00FC5E3D" w:rsidRDefault="00315AF0" w:rsidP="00227135">
      <w:pPr>
        <w:pStyle w:val="Paragrafoelenco"/>
        <w:numPr>
          <w:ilvl w:val="0"/>
          <w:numId w:val="11"/>
        </w:numPr>
        <w:spacing w:before="240" w:after="0" w:line="276" w:lineRule="auto"/>
        <w:ind w:left="357" w:hanging="357"/>
        <w:rPr>
          <w:i/>
          <w:iCs/>
          <w:sz w:val="24"/>
          <w:szCs w:val="24"/>
        </w:rPr>
      </w:pPr>
      <w:r w:rsidRPr="00315AF0">
        <w:rPr>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t>Prime</w:t>
      </w:r>
      <w:r>
        <w:rPr>
          <w:i/>
          <w:iCs/>
          <w:sz w:val="24"/>
          <w:szCs w:val="24"/>
        </w:rPr>
        <w:t xml:space="preserve"> </w:t>
      </w:r>
      <w:r w:rsidRPr="00315AF0">
        <w:rPr>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t>compravendite</w:t>
      </w:r>
    </w:p>
    <w:p w14:paraId="5F7B54CC" w14:textId="07D85739" w:rsidR="00812695" w:rsidRPr="00FC5E3D" w:rsidRDefault="008B01A9" w:rsidP="008B01A9">
      <w:pPr>
        <w:spacing w:before="240" w:after="0" w:line="276" w:lineRule="auto"/>
        <w:ind w:right="3855"/>
        <w:rPr>
          <w:i/>
          <w:iCs/>
          <w:sz w:val="24"/>
          <w:szCs w:val="24"/>
        </w:rPr>
      </w:pPr>
      <w:r>
        <w:rPr>
          <w:noProof/>
          <w:lang w:eastAsia="it-IT"/>
        </w:rPr>
        <w:drawing>
          <wp:anchor distT="0" distB="0" distL="114300" distR="114300" simplePos="0" relativeHeight="251658246" behindDoc="1" locked="0" layoutInCell="1" allowOverlap="1" wp14:anchorId="4B3A2968" wp14:editId="06B32BC9">
            <wp:simplePos x="0" y="0"/>
            <wp:positionH relativeFrom="margin">
              <wp:posOffset>4248150</wp:posOffset>
            </wp:positionH>
            <wp:positionV relativeFrom="paragraph">
              <wp:posOffset>543560</wp:posOffset>
            </wp:positionV>
            <wp:extent cx="1981835" cy="1655445"/>
            <wp:effectExtent l="0" t="0" r="0" b="1905"/>
            <wp:wrapThrough wrapText="bothSides">
              <wp:wrapPolygon edited="0">
                <wp:start x="10381" y="0"/>
                <wp:lineTo x="3114" y="746"/>
                <wp:lineTo x="0" y="1988"/>
                <wp:lineTo x="0" y="7954"/>
                <wp:lineTo x="415" y="13174"/>
                <wp:lineTo x="1038" y="15908"/>
                <wp:lineTo x="7890" y="19885"/>
                <wp:lineTo x="9758" y="21376"/>
                <wp:lineTo x="9966" y="21376"/>
                <wp:lineTo x="11212" y="21376"/>
                <wp:lineTo x="11419" y="21376"/>
                <wp:lineTo x="12665" y="19885"/>
                <wp:lineTo x="13496" y="19885"/>
                <wp:lineTo x="19309" y="16405"/>
                <wp:lineTo x="19309" y="15908"/>
                <wp:lineTo x="20347" y="11931"/>
                <wp:lineTo x="21385" y="9197"/>
                <wp:lineTo x="21385" y="6960"/>
                <wp:lineTo x="20555" y="3977"/>
                <wp:lineTo x="20763" y="1491"/>
                <wp:lineTo x="17648" y="249"/>
                <wp:lineTo x="11835" y="0"/>
                <wp:lineTo x="10381" y="0"/>
              </wp:wrapPolygon>
            </wp:wrapThrough>
            <wp:docPr id="8"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81835" cy="16554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2695" w:rsidRPr="575BAD95">
        <w:rPr>
          <w:color w:val="000000"/>
          <w:sz w:val="24"/>
          <w:szCs w:val="24"/>
          <w:shd w:val="clear" w:color="auto" w:fill="FFFFFF"/>
        </w:rPr>
        <w:t>La prima compravendita di titoli nella stori</w:t>
      </w:r>
      <w:r w:rsidR="0097745D">
        <w:rPr>
          <w:color w:val="000000"/>
          <w:sz w:val="24"/>
          <w:szCs w:val="24"/>
          <w:shd w:val="clear" w:color="auto" w:fill="FFFFFF"/>
        </w:rPr>
        <w:t>a</w:t>
      </w:r>
      <w:r w:rsidR="00812695" w:rsidRPr="575BAD95">
        <w:rPr>
          <w:color w:val="000000"/>
          <w:sz w:val="24"/>
          <w:szCs w:val="24"/>
          <w:shd w:val="clear" w:color="auto" w:fill="FFFFFF"/>
        </w:rPr>
        <w:t xml:space="preserve"> dell’umanità risale al 1500 nella città belga di Bruges: i titoli scambiati dai mercanti rappresentavano un credito o una merce in arrivo da paesi lontani, che non potevano essere materialmente scambiati. Questa sorta di mercato organizzato si teneva in </w:t>
      </w:r>
      <w:r w:rsidR="00812695" w:rsidRPr="575BAD95">
        <w:rPr>
          <w:b/>
          <w:bCs/>
          <w:color w:val="000000"/>
          <w:sz w:val="24"/>
          <w:szCs w:val="24"/>
          <w:bdr w:val="none" w:sz="0" w:space="0" w:color="auto" w:frame="1"/>
          <w:shd w:val="clear" w:color="auto" w:fill="FFFFFF"/>
        </w:rPr>
        <w:t xml:space="preserve">un palazzo di proprietà della famiglia dei Van </w:t>
      </w:r>
      <w:proofErr w:type="spellStart"/>
      <w:r w:rsidR="00812695" w:rsidRPr="575BAD95">
        <w:rPr>
          <w:b/>
          <w:bCs/>
          <w:color w:val="000000"/>
          <w:sz w:val="24"/>
          <w:szCs w:val="24"/>
          <w:bdr w:val="none" w:sz="0" w:space="0" w:color="auto" w:frame="1"/>
          <w:shd w:val="clear" w:color="auto" w:fill="FFFFFF"/>
        </w:rPr>
        <w:t>der</w:t>
      </w:r>
      <w:proofErr w:type="spellEnd"/>
      <w:r w:rsidR="00812695" w:rsidRPr="575BAD95">
        <w:rPr>
          <w:b/>
          <w:bCs/>
          <w:color w:val="000000"/>
          <w:sz w:val="24"/>
          <w:szCs w:val="24"/>
          <w:bdr w:val="none" w:sz="0" w:space="0" w:color="auto" w:frame="1"/>
          <w:shd w:val="clear" w:color="auto" w:fill="FFFFFF"/>
        </w:rPr>
        <w:t xml:space="preserve"> </w:t>
      </w:r>
      <w:proofErr w:type="spellStart"/>
      <w:r w:rsidR="00812695" w:rsidRPr="575BAD95">
        <w:rPr>
          <w:b/>
          <w:bCs/>
          <w:color w:val="000000"/>
          <w:sz w:val="24"/>
          <w:szCs w:val="24"/>
          <w:bdr w:val="none" w:sz="0" w:space="0" w:color="auto" w:frame="1"/>
          <w:shd w:val="clear" w:color="auto" w:fill="FFFFFF"/>
        </w:rPr>
        <w:t>Bourse</w:t>
      </w:r>
      <w:proofErr w:type="spellEnd"/>
      <w:r w:rsidR="00812695" w:rsidRPr="575BAD95">
        <w:rPr>
          <w:b/>
          <w:bCs/>
          <w:color w:val="000000"/>
          <w:sz w:val="24"/>
          <w:szCs w:val="24"/>
          <w:bdr w:val="none" w:sz="0" w:space="0" w:color="auto" w:frame="1"/>
          <w:shd w:val="clear" w:color="auto" w:fill="FFFFFF"/>
        </w:rPr>
        <w:t>, il cui stemma era rappresentato da tre borse</w:t>
      </w:r>
      <w:r w:rsidR="00812695" w:rsidRPr="575BAD95">
        <w:rPr>
          <w:color w:val="000000"/>
          <w:sz w:val="24"/>
          <w:szCs w:val="24"/>
          <w:shd w:val="clear" w:color="auto" w:fill="FFFFFF"/>
        </w:rPr>
        <w:t>, dal cui nome deriva la denominazione di “Borsa”.</w:t>
      </w:r>
      <w:r w:rsidR="00812695" w:rsidRPr="00FC5E3D">
        <w:rPr>
          <w:rFonts w:cstheme="minorHAnsi"/>
          <w:color w:val="000000"/>
          <w:sz w:val="24"/>
          <w:szCs w:val="24"/>
        </w:rPr>
        <w:br/>
      </w:r>
      <w:r w:rsidR="008D4CB0">
        <w:rPr>
          <w:color w:val="000000"/>
          <w:sz w:val="24"/>
          <w:szCs w:val="24"/>
          <w:shd w:val="clear" w:color="auto" w:fill="FFFFFF"/>
        </w:rPr>
        <w:t xml:space="preserve">In contrapposizione </w:t>
      </w:r>
      <w:r w:rsidR="0047362F">
        <w:rPr>
          <w:color w:val="000000"/>
          <w:sz w:val="24"/>
          <w:szCs w:val="24"/>
          <w:shd w:val="clear" w:color="auto" w:fill="FFFFFF"/>
        </w:rPr>
        <w:t>a</w:t>
      </w:r>
      <w:r w:rsidR="000F28A5">
        <w:rPr>
          <w:color w:val="000000"/>
          <w:sz w:val="24"/>
          <w:szCs w:val="24"/>
          <w:shd w:val="clear" w:color="auto" w:fill="FFFFFF"/>
        </w:rPr>
        <w:t xml:space="preserve"> ciò</w:t>
      </w:r>
      <w:r w:rsidR="0047362F">
        <w:rPr>
          <w:color w:val="000000"/>
          <w:sz w:val="24"/>
          <w:szCs w:val="24"/>
          <w:shd w:val="clear" w:color="auto" w:fill="FFFFFF"/>
        </w:rPr>
        <w:t>,</w:t>
      </w:r>
      <w:r w:rsidR="00812695" w:rsidRPr="575BAD95">
        <w:rPr>
          <w:color w:val="000000"/>
          <w:sz w:val="24"/>
          <w:szCs w:val="24"/>
          <w:shd w:val="clear" w:color="auto" w:fill="FFFFFF"/>
        </w:rPr>
        <w:t xml:space="preserve"> alcuni studiosi affermano che il vocabolo Borsa deriverebbe dal nome della famiglia dei mercanti veneziani Della Borsa e </w:t>
      </w:r>
      <w:r w:rsidR="00812695" w:rsidRPr="575BAD95">
        <w:rPr>
          <w:b/>
          <w:bCs/>
          <w:color w:val="000000"/>
          <w:sz w:val="24"/>
          <w:szCs w:val="24"/>
          <w:bdr w:val="none" w:sz="0" w:space="0" w:color="auto" w:frame="1"/>
          <w:shd w:val="clear" w:color="auto" w:fill="FFFFFF"/>
        </w:rPr>
        <w:t xml:space="preserve">che sarebbe stato trasformato in olandese Van </w:t>
      </w:r>
      <w:proofErr w:type="spellStart"/>
      <w:r w:rsidR="00812695" w:rsidRPr="575BAD95">
        <w:rPr>
          <w:b/>
          <w:bCs/>
          <w:color w:val="000000"/>
          <w:sz w:val="24"/>
          <w:szCs w:val="24"/>
          <w:bdr w:val="none" w:sz="0" w:space="0" w:color="auto" w:frame="1"/>
          <w:shd w:val="clear" w:color="auto" w:fill="FFFFFF"/>
        </w:rPr>
        <w:t>der</w:t>
      </w:r>
      <w:proofErr w:type="spellEnd"/>
      <w:r w:rsidR="00812695" w:rsidRPr="575BAD95">
        <w:rPr>
          <w:b/>
          <w:bCs/>
          <w:color w:val="000000"/>
          <w:sz w:val="24"/>
          <w:szCs w:val="24"/>
          <w:bdr w:val="none" w:sz="0" w:space="0" w:color="auto" w:frame="1"/>
          <w:shd w:val="clear" w:color="auto" w:fill="FFFFFF"/>
        </w:rPr>
        <w:t xml:space="preserve"> </w:t>
      </w:r>
      <w:proofErr w:type="spellStart"/>
      <w:r w:rsidR="00812695" w:rsidRPr="575BAD95">
        <w:rPr>
          <w:b/>
          <w:bCs/>
          <w:color w:val="000000"/>
          <w:sz w:val="24"/>
          <w:szCs w:val="24"/>
          <w:bdr w:val="none" w:sz="0" w:space="0" w:color="auto" w:frame="1"/>
          <w:shd w:val="clear" w:color="auto" w:fill="FFFFFF"/>
        </w:rPr>
        <w:t>Bourse</w:t>
      </w:r>
      <w:proofErr w:type="spellEnd"/>
      <w:r w:rsidR="00812695" w:rsidRPr="575BAD95">
        <w:rPr>
          <w:b/>
          <w:bCs/>
          <w:color w:val="000000"/>
          <w:sz w:val="24"/>
          <w:szCs w:val="24"/>
          <w:bdr w:val="none" w:sz="0" w:space="0" w:color="auto" w:frame="1"/>
          <w:shd w:val="clear" w:color="auto" w:fill="FFFFFF"/>
        </w:rPr>
        <w:t xml:space="preserve"> nel XIV secolo</w:t>
      </w:r>
      <w:r w:rsidR="00812695" w:rsidRPr="575BAD95">
        <w:rPr>
          <w:color w:val="000000"/>
          <w:sz w:val="24"/>
          <w:szCs w:val="24"/>
          <w:bdr w:val="none" w:sz="0" w:space="0" w:color="auto" w:frame="1"/>
          <w:shd w:val="clear" w:color="auto" w:fill="FFFFFF"/>
        </w:rPr>
        <w:t>.</w:t>
      </w:r>
    </w:p>
    <w:p w14:paraId="39728304" w14:textId="065ABB6A" w:rsidR="00FC5E3D" w:rsidRPr="00EC1413" w:rsidRDefault="004F2051" w:rsidP="00227135">
      <w:pPr>
        <w:pStyle w:val="Paragrafoelenco"/>
        <w:numPr>
          <w:ilvl w:val="0"/>
          <w:numId w:val="13"/>
        </w:numPr>
        <w:spacing w:before="240" w:line="276" w:lineRule="auto"/>
        <w:ind w:left="357" w:hanging="357"/>
        <w:rPr>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EC1413">
        <w:rPr>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t>L</w:t>
      </w:r>
      <w:r w:rsidR="00C3118A" w:rsidRPr="00EC1413">
        <w:rPr>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t>a prima Borsa, quella di Anversa</w:t>
      </w:r>
      <w:r w:rsidR="00FC5E3D" w:rsidRPr="00EC1413">
        <w:rPr>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0D458802" w14:textId="7D7837C3" w:rsidR="00964D6D" w:rsidRDefault="00B82955" w:rsidP="575BAD95">
      <w:pPr>
        <w:spacing w:before="240" w:after="0" w:line="276" w:lineRule="auto"/>
        <w:rPr>
          <w:color w:val="000000"/>
          <w:sz w:val="24"/>
          <w:szCs w:val="24"/>
          <w:shd w:val="clear" w:color="auto" w:fill="FFFFFF"/>
        </w:rPr>
      </w:pPr>
      <w:r w:rsidRPr="575BAD95">
        <w:rPr>
          <w:color w:val="000000"/>
          <w:sz w:val="24"/>
          <w:szCs w:val="24"/>
          <w:shd w:val="clear" w:color="auto" w:fill="FFFFFF"/>
        </w:rPr>
        <w:t xml:space="preserve">Quella di Bruges non può essere definita una Borsa vera e propria; pertanto, viene unanimemente considerata come la prima Borsa </w:t>
      </w:r>
      <w:r w:rsidR="002060E3">
        <w:rPr>
          <w:color w:val="000000"/>
          <w:sz w:val="24"/>
          <w:szCs w:val="24"/>
          <w:shd w:val="clear" w:color="auto" w:fill="FFFFFF"/>
        </w:rPr>
        <w:t>v</w:t>
      </w:r>
      <w:r w:rsidRPr="575BAD95">
        <w:rPr>
          <w:color w:val="000000"/>
          <w:sz w:val="24"/>
          <w:szCs w:val="24"/>
          <w:shd w:val="clear" w:color="auto" w:fill="FFFFFF"/>
        </w:rPr>
        <w:t xml:space="preserve">alori della </w:t>
      </w:r>
      <w:r w:rsidR="000D356F" w:rsidRPr="575BAD95">
        <w:rPr>
          <w:color w:val="000000"/>
          <w:sz w:val="24"/>
          <w:szCs w:val="24"/>
          <w:shd w:val="clear" w:color="auto" w:fill="FFFFFF"/>
        </w:rPr>
        <w:t>S</w:t>
      </w:r>
      <w:r w:rsidRPr="575BAD95">
        <w:rPr>
          <w:color w:val="000000"/>
          <w:sz w:val="24"/>
          <w:szCs w:val="24"/>
          <w:shd w:val="clear" w:color="auto" w:fill="FFFFFF"/>
        </w:rPr>
        <w:t>toria quella istituita nel 1531 </w:t>
      </w:r>
      <w:r w:rsidRPr="575BAD95">
        <w:rPr>
          <w:b/>
          <w:bCs/>
          <w:color w:val="000000"/>
          <w:sz w:val="24"/>
          <w:szCs w:val="24"/>
          <w:bdr w:val="none" w:sz="0" w:space="0" w:color="auto" w:frame="1"/>
          <w:shd w:val="clear" w:color="auto" w:fill="FFFFFF"/>
        </w:rPr>
        <w:t>nella città belga di Anversa</w:t>
      </w:r>
      <w:r w:rsidR="00257397" w:rsidRPr="575BAD95">
        <w:rPr>
          <w:color w:val="000000"/>
          <w:sz w:val="24"/>
          <w:szCs w:val="24"/>
          <w:shd w:val="clear" w:color="auto" w:fill="FFFFFF"/>
        </w:rPr>
        <w:t>,</w:t>
      </w:r>
      <w:r w:rsidRPr="575BAD95">
        <w:rPr>
          <w:color w:val="000000"/>
          <w:sz w:val="24"/>
          <w:szCs w:val="24"/>
          <w:shd w:val="clear" w:color="auto" w:fill="FFFFFF"/>
        </w:rPr>
        <w:t xml:space="preserve"> che prese il posto di Bruges come luogo di incontro di mercanti e banchieri per la conclusione dei loro traffici. I prezzi delle merci venivano contrattati da questi “operatori” in un determinato edificio, la Borsa appunto</w:t>
      </w:r>
      <w:r w:rsidR="002B2612" w:rsidRPr="575BAD95">
        <w:rPr>
          <w:color w:val="000000"/>
          <w:sz w:val="24"/>
          <w:szCs w:val="24"/>
          <w:shd w:val="clear" w:color="auto" w:fill="FFFFFF"/>
        </w:rPr>
        <w:t>.</w:t>
      </w:r>
    </w:p>
    <w:p w14:paraId="7603C0CC" w14:textId="6729E868" w:rsidR="000829EA" w:rsidRDefault="00780029" w:rsidP="00227135">
      <w:pPr>
        <w:pStyle w:val="Paragrafoelenco"/>
        <w:numPr>
          <w:ilvl w:val="0"/>
          <w:numId w:val="14"/>
        </w:numPr>
        <w:spacing w:before="240" w:after="0" w:line="276" w:lineRule="auto"/>
        <w:ind w:left="357" w:hanging="357"/>
        <w:rPr>
          <w:rFonts w:cstheme="minorHAnsi"/>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5E4C3E">
        <w:rPr>
          <w:rFonts w:cstheme="minorHAnsi"/>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lastRenderedPageBreak/>
        <w:t>La nascita delle prime Borse in Europa</w:t>
      </w:r>
    </w:p>
    <w:p w14:paraId="4A48A162" w14:textId="2D129086" w:rsidR="00121271" w:rsidRDefault="00552C76" w:rsidP="575BAD95">
      <w:pPr>
        <w:spacing w:before="240" w:after="0" w:line="276" w:lineRule="auto"/>
        <w:rPr>
          <w:color w:val="000000"/>
          <w:sz w:val="24"/>
          <w:szCs w:val="24"/>
        </w:rPr>
      </w:pPr>
      <w:r w:rsidRPr="00A7091D">
        <w:rPr>
          <w:rFonts w:cstheme="minorHAnsi"/>
          <w:color w:val="000000"/>
          <w:sz w:val="24"/>
          <w:szCs w:val="24"/>
          <w:shd w:val="clear" w:color="auto" w:fill="FFFFFF"/>
        </w:rPr>
        <w:t xml:space="preserve">Nel corso della seconda metà del 1500 e poi a seguire nei secoli successivi, fiorirono nel </w:t>
      </w:r>
      <w:r w:rsidR="005040BF" w:rsidRPr="00A7091D">
        <w:rPr>
          <w:rFonts w:cstheme="minorHAnsi"/>
          <w:color w:val="000000"/>
          <w:sz w:val="24"/>
          <w:szCs w:val="24"/>
          <w:shd w:val="clear" w:color="auto" w:fill="FFFFFF"/>
        </w:rPr>
        <w:t>V</w:t>
      </w:r>
      <w:r w:rsidRPr="00A7091D">
        <w:rPr>
          <w:rFonts w:cstheme="minorHAnsi"/>
          <w:color w:val="000000"/>
          <w:sz w:val="24"/>
          <w:szCs w:val="24"/>
          <w:shd w:val="clear" w:color="auto" w:fill="FFFFFF"/>
        </w:rPr>
        <w:t xml:space="preserve">ecchio </w:t>
      </w:r>
      <w:r w:rsidR="005040BF" w:rsidRPr="575BAD95">
        <w:rPr>
          <w:color w:val="000000"/>
          <w:sz w:val="24"/>
          <w:szCs w:val="24"/>
          <w:shd w:val="clear" w:color="auto" w:fill="FFFFFF"/>
        </w:rPr>
        <w:t>C</w:t>
      </w:r>
      <w:r w:rsidRPr="575BAD95">
        <w:rPr>
          <w:color w:val="000000"/>
          <w:sz w:val="24"/>
          <w:szCs w:val="24"/>
          <w:shd w:val="clear" w:color="auto" w:fill="FFFFFF"/>
        </w:rPr>
        <w:t>ontinente un certo numero di Borse</w:t>
      </w:r>
      <w:r w:rsidR="00923CD7" w:rsidRPr="575BAD95">
        <w:rPr>
          <w:color w:val="000000"/>
          <w:sz w:val="24"/>
          <w:szCs w:val="24"/>
          <w:shd w:val="clear" w:color="auto" w:fill="FFFFFF"/>
        </w:rPr>
        <w:t xml:space="preserve"> </w:t>
      </w:r>
      <w:r w:rsidR="002060E3">
        <w:rPr>
          <w:color w:val="000000"/>
          <w:sz w:val="24"/>
          <w:szCs w:val="24"/>
          <w:shd w:val="clear" w:color="auto" w:fill="FFFFFF"/>
        </w:rPr>
        <w:t>v</w:t>
      </w:r>
      <w:r w:rsidR="00923CD7" w:rsidRPr="575BAD95">
        <w:rPr>
          <w:color w:val="000000"/>
          <w:sz w:val="24"/>
          <w:szCs w:val="24"/>
          <w:shd w:val="clear" w:color="auto" w:fill="FFFFFF"/>
        </w:rPr>
        <w:t>alori.</w:t>
      </w:r>
      <w:r w:rsidRPr="005F2AE0">
        <w:rPr>
          <w:rFonts w:cstheme="minorHAnsi"/>
          <w:color w:val="000000"/>
          <w:sz w:val="24"/>
          <w:szCs w:val="24"/>
        </w:rPr>
        <w:br/>
      </w:r>
      <w:r w:rsidR="007E411C" w:rsidRPr="575BAD95">
        <w:rPr>
          <w:color w:val="000000"/>
          <w:sz w:val="24"/>
          <w:szCs w:val="24"/>
          <w:shd w:val="clear" w:color="auto" w:fill="FFFFFF"/>
        </w:rPr>
        <w:t xml:space="preserve">Nel </w:t>
      </w:r>
      <w:r w:rsidRPr="575BAD95">
        <w:rPr>
          <w:color w:val="000000"/>
          <w:sz w:val="24"/>
          <w:szCs w:val="24"/>
          <w:shd w:val="clear" w:color="auto" w:fill="FFFFFF"/>
        </w:rPr>
        <w:t>XVI secolo</w:t>
      </w:r>
      <w:r w:rsidR="007E411C" w:rsidRPr="575BAD95">
        <w:rPr>
          <w:color w:val="000000"/>
          <w:sz w:val="24"/>
          <w:szCs w:val="24"/>
          <w:shd w:val="clear" w:color="auto" w:fill="FFFFFF"/>
        </w:rPr>
        <w:t xml:space="preserve"> </w:t>
      </w:r>
      <w:r w:rsidRPr="575BAD95">
        <w:rPr>
          <w:b/>
          <w:bCs/>
          <w:color w:val="000000"/>
          <w:sz w:val="24"/>
          <w:szCs w:val="24"/>
          <w:bdr w:val="none" w:sz="0" w:space="0" w:color="auto" w:frame="1"/>
          <w:shd w:val="clear" w:color="auto" w:fill="FFFFFF"/>
        </w:rPr>
        <w:t xml:space="preserve">iniziarono a svilupparsi nei grandi centri “borsistici” operazioni di prestito a favore di monarchi ed </w:t>
      </w:r>
      <w:r w:rsidR="001F4D1D" w:rsidRPr="575BAD95">
        <w:rPr>
          <w:b/>
          <w:bCs/>
          <w:color w:val="000000"/>
          <w:sz w:val="24"/>
          <w:szCs w:val="24"/>
          <w:bdr w:val="none" w:sz="0" w:space="0" w:color="auto" w:frame="1"/>
          <w:shd w:val="clear" w:color="auto" w:fill="FFFFFF"/>
        </w:rPr>
        <w:t>iniziarono ad essere</w:t>
      </w:r>
      <w:r w:rsidRPr="575BAD95">
        <w:rPr>
          <w:b/>
          <w:bCs/>
          <w:color w:val="000000"/>
          <w:sz w:val="24"/>
          <w:szCs w:val="24"/>
          <w:bdr w:val="none" w:sz="0" w:space="0" w:color="auto" w:frame="1"/>
          <w:shd w:val="clear" w:color="auto" w:fill="FFFFFF"/>
        </w:rPr>
        <w:t xml:space="preserve"> emessi una serie di titoli di debito pubblico</w:t>
      </w:r>
      <w:r w:rsidRPr="575BAD95">
        <w:rPr>
          <w:color w:val="000000"/>
          <w:sz w:val="24"/>
          <w:szCs w:val="24"/>
          <w:shd w:val="clear" w:color="auto" w:fill="FFFFFF"/>
        </w:rPr>
        <w:t xml:space="preserve"> negoziabili, che erano entrati a far parte degli affari di </w:t>
      </w:r>
      <w:r w:rsidR="00C700F6">
        <w:rPr>
          <w:color w:val="000000"/>
          <w:sz w:val="24"/>
          <w:szCs w:val="24"/>
          <w:shd w:val="clear" w:color="auto" w:fill="FFFFFF"/>
        </w:rPr>
        <w:t>B</w:t>
      </w:r>
      <w:r w:rsidRPr="575BAD95">
        <w:rPr>
          <w:color w:val="000000"/>
          <w:sz w:val="24"/>
          <w:szCs w:val="24"/>
          <w:shd w:val="clear" w:color="auto" w:fill="FFFFFF"/>
        </w:rPr>
        <w:t>orsa: iniziarono così a</w:t>
      </w:r>
      <w:r w:rsidR="00D76290">
        <w:rPr>
          <w:color w:val="000000"/>
          <w:sz w:val="24"/>
          <w:szCs w:val="24"/>
          <w:shd w:val="clear" w:color="auto" w:fill="FFFFFF"/>
        </w:rPr>
        <w:t>d essere</w:t>
      </w:r>
      <w:r w:rsidRPr="575BAD95">
        <w:rPr>
          <w:color w:val="000000"/>
          <w:sz w:val="24"/>
          <w:szCs w:val="24"/>
          <w:shd w:val="clear" w:color="auto" w:fill="FFFFFF"/>
        </w:rPr>
        <w:t xml:space="preserve"> negozia</w:t>
      </w:r>
      <w:r w:rsidR="00D76290">
        <w:rPr>
          <w:color w:val="000000"/>
          <w:sz w:val="24"/>
          <w:szCs w:val="24"/>
          <w:shd w:val="clear" w:color="auto" w:fill="FFFFFF"/>
        </w:rPr>
        <w:t>te</w:t>
      </w:r>
      <w:r w:rsidRPr="575BAD95">
        <w:rPr>
          <w:color w:val="000000"/>
          <w:sz w:val="24"/>
          <w:szCs w:val="24"/>
          <w:shd w:val="clear" w:color="auto" w:fill="FFFFFF"/>
        </w:rPr>
        <w:t xml:space="preserve"> le prime obbligazioni statali. </w:t>
      </w:r>
      <w:r w:rsidR="00C05424">
        <w:rPr>
          <w:color w:val="000000"/>
          <w:sz w:val="24"/>
          <w:szCs w:val="24"/>
          <w:shd w:val="clear" w:color="auto" w:fill="FFFFFF"/>
        </w:rPr>
        <w:t>C</w:t>
      </w:r>
      <w:r w:rsidRPr="575BAD95">
        <w:rPr>
          <w:color w:val="000000"/>
          <w:sz w:val="24"/>
          <w:szCs w:val="24"/>
          <w:shd w:val="clear" w:color="auto" w:fill="FFFFFF"/>
        </w:rPr>
        <w:t xml:space="preserve">ominciarono anche le negoziazioni di quote di comproprietà di imprese, che erano state costituite in forma di società per azioni in virtù degli enormi guadagni conseguiti dalle compagnie coloniali </w:t>
      </w:r>
      <w:r w:rsidR="00D32330" w:rsidRPr="575BAD95">
        <w:rPr>
          <w:color w:val="000000"/>
          <w:sz w:val="24"/>
          <w:szCs w:val="24"/>
          <w:shd w:val="clear" w:color="auto" w:fill="FFFFFF"/>
        </w:rPr>
        <w:t xml:space="preserve">di </w:t>
      </w:r>
      <w:r w:rsidRPr="575BAD95">
        <w:rPr>
          <w:color w:val="000000"/>
          <w:sz w:val="24"/>
          <w:szCs w:val="24"/>
          <w:shd w:val="clear" w:color="auto" w:fill="FFFFFF"/>
        </w:rPr>
        <w:t>Olanda e Inghilterra.</w:t>
      </w:r>
      <w:r w:rsidRPr="005F2AE0">
        <w:rPr>
          <w:rFonts w:cstheme="minorHAnsi"/>
          <w:color w:val="000000"/>
          <w:sz w:val="24"/>
          <w:szCs w:val="24"/>
        </w:rPr>
        <w:br/>
      </w:r>
      <w:r w:rsidRPr="005F2AE0">
        <w:rPr>
          <w:rFonts w:cstheme="minorHAnsi"/>
          <w:b/>
          <w:bCs/>
          <w:color w:val="000000"/>
          <w:sz w:val="24"/>
          <w:szCs w:val="24"/>
          <w:bdr w:val="none" w:sz="0" w:space="0" w:color="auto" w:frame="1"/>
          <w:shd w:val="clear" w:color="auto" w:fill="FFFFFF"/>
        </w:rPr>
        <w:br/>
      </w:r>
      <w:r w:rsidRPr="575BAD95">
        <w:rPr>
          <w:b/>
          <w:bCs/>
          <w:color w:val="000000"/>
          <w:sz w:val="24"/>
          <w:szCs w:val="24"/>
          <w:bdr w:val="none" w:sz="0" w:space="0" w:color="auto" w:frame="1"/>
          <w:shd w:val="clear" w:color="auto" w:fill="FFFFFF"/>
        </w:rPr>
        <w:t>In Francia, le prime Borse </w:t>
      </w:r>
      <w:r w:rsidR="00B03036">
        <w:rPr>
          <w:color w:val="000000"/>
          <w:sz w:val="24"/>
          <w:szCs w:val="24"/>
          <w:shd w:val="clear" w:color="auto" w:fill="FFFFFF"/>
        </w:rPr>
        <w:t>risalgono</w:t>
      </w:r>
      <w:r w:rsidRPr="575BAD95">
        <w:rPr>
          <w:color w:val="000000"/>
          <w:sz w:val="24"/>
          <w:szCs w:val="24"/>
          <w:shd w:val="clear" w:color="auto" w:fill="FFFFFF"/>
        </w:rPr>
        <w:t xml:space="preserve"> a quelle di Lione del 1548, di Tolosa del 1549, di Rouen del 1556 e di Bordeaux del 1571, mentre per la nascita della Borsa di Parigi si deve attendere fino al 1724.</w:t>
      </w:r>
    </w:p>
    <w:p w14:paraId="5EBC58B5" w14:textId="130CF2DB" w:rsidR="00121271" w:rsidRDefault="00552C76" w:rsidP="575BAD95">
      <w:pPr>
        <w:spacing w:before="240" w:after="0" w:line="276" w:lineRule="auto"/>
        <w:rPr>
          <w:color w:val="000000"/>
          <w:sz w:val="24"/>
          <w:szCs w:val="24"/>
        </w:rPr>
      </w:pPr>
      <w:r w:rsidRPr="575BAD95">
        <w:rPr>
          <w:b/>
          <w:bCs/>
          <w:color w:val="000000"/>
          <w:sz w:val="24"/>
          <w:szCs w:val="24"/>
          <w:bdr w:val="none" w:sz="0" w:space="0" w:color="auto" w:frame="1"/>
          <w:shd w:val="clear" w:color="auto" w:fill="FFFFFF"/>
        </w:rPr>
        <w:t>In Inghilterra</w:t>
      </w:r>
      <w:r w:rsidRPr="575BAD95">
        <w:rPr>
          <w:color w:val="000000"/>
          <w:sz w:val="24"/>
          <w:szCs w:val="24"/>
          <w:bdr w:val="none" w:sz="0" w:space="0" w:color="auto" w:frame="1"/>
          <w:shd w:val="clear" w:color="auto" w:fill="FFFFFF"/>
        </w:rPr>
        <w:t>, si deve a</w:t>
      </w:r>
      <w:r w:rsidRPr="575BAD95">
        <w:rPr>
          <w:b/>
          <w:bCs/>
          <w:color w:val="000000"/>
          <w:sz w:val="24"/>
          <w:szCs w:val="24"/>
          <w:bdr w:val="none" w:sz="0" w:space="0" w:color="auto" w:frame="1"/>
          <w:shd w:val="clear" w:color="auto" w:fill="FFFFFF"/>
        </w:rPr>
        <w:t xml:space="preserve"> Sir Thomas Gresham</w:t>
      </w:r>
      <w:r w:rsidRPr="575BAD95">
        <w:rPr>
          <w:color w:val="000000"/>
          <w:sz w:val="24"/>
          <w:szCs w:val="24"/>
          <w:bdr w:val="none" w:sz="0" w:space="0" w:color="auto" w:frame="1"/>
          <w:shd w:val="clear" w:color="auto" w:fill="FFFFFF"/>
        </w:rPr>
        <w:t>, responsabile degli scambi in valuta della regina Elisabetta</w:t>
      </w:r>
      <w:r w:rsidR="00FE1B41" w:rsidRPr="575BAD95">
        <w:rPr>
          <w:color w:val="000000"/>
          <w:sz w:val="24"/>
          <w:szCs w:val="24"/>
          <w:bdr w:val="none" w:sz="0" w:space="0" w:color="auto" w:frame="1"/>
          <w:shd w:val="clear" w:color="auto" w:fill="FFFFFF"/>
        </w:rPr>
        <w:t xml:space="preserve"> I</w:t>
      </w:r>
      <w:r w:rsidRPr="575BAD95">
        <w:rPr>
          <w:color w:val="000000"/>
          <w:sz w:val="24"/>
          <w:szCs w:val="24"/>
          <w:bdr w:val="none" w:sz="0" w:space="0" w:color="auto" w:frame="1"/>
          <w:shd w:val="clear" w:color="auto" w:fill="FFFFFF"/>
        </w:rPr>
        <w:t>, la creazione della</w:t>
      </w:r>
      <w:r w:rsidRPr="575BAD95">
        <w:rPr>
          <w:b/>
          <w:bCs/>
          <w:color w:val="000000"/>
          <w:sz w:val="24"/>
          <w:szCs w:val="24"/>
          <w:bdr w:val="none" w:sz="0" w:space="0" w:color="auto" w:frame="1"/>
          <w:shd w:val="clear" w:color="auto" w:fill="FFFFFF"/>
        </w:rPr>
        <w:t xml:space="preserve"> Royal Exchange</w:t>
      </w:r>
      <w:r w:rsidRPr="575BAD95">
        <w:rPr>
          <w:color w:val="000000"/>
          <w:sz w:val="24"/>
          <w:szCs w:val="24"/>
          <w:shd w:val="clear" w:color="auto" w:fill="FFFFFF"/>
        </w:rPr>
        <w:t>, il quale, dopo aver trascorso qualche tempo ad Anversa, fondò a Londra nel 1564 la Borsa inglese</w:t>
      </w:r>
      <w:r w:rsidR="00F75C1D" w:rsidRPr="575BAD95">
        <w:rPr>
          <w:color w:val="000000"/>
          <w:sz w:val="24"/>
          <w:szCs w:val="24"/>
          <w:shd w:val="clear" w:color="auto" w:fill="FFFFFF"/>
        </w:rPr>
        <w:t>.</w:t>
      </w:r>
      <w:r w:rsidRPr="575BAD95">
        <w:rPr>
          <w:color w:val="000000"/>
          <w:sz w:val="24"/>
          <w:szCs w:val="24"/>
          <w:shd w:val="clear" w:color="auto" w:fill="FFFFFF"/>
        </w:rPr>
        <w:t xml:space="preserve"> </w:t>
      </w:r>
      <w:r w:rsidR="00B24192" w:rsidRPr="575BAD95">
        <w:rPr>
          <w:color w:val="000000"/>
          <w:sz w:val="24"/>
          <w:szCs w:val="24"/>
          <w:shd w:val="clear" w:color="auto" w:fill="FFFFFF"/>
        </w:rPr>
        <w:t>I</w:t>
      </w:r>
      <w:r w:rsidRPr="575BAD95">
        <w:rPr>
          <w:color w:val="000000"/>
          <w:sz w:val="24"/>
          <w:szCs w:val="24"/>
          <w:shd w:val="clear" w:color="auto" w:fill="FFFFFF"/>
        </w:rPr>
        <w:t>l 3 marzo</w:t>
      </w:r>
      <w:r w:rsidR="000921DA">
        <w:rPr>
          <w:color w:val="000000"/>
          <w:sz w:val="24"/>
          <w:szCs w:val="24"/>
          <w:shd w:val="clear" w:color="auto" w:fill="FFFFFF"/>
        </w:rPr>
        <w:t xml:space="preserve"> </w:t>
      </w:r>
      <w:r w:rsidRPr="575BAD95">
        <w:rPr>
          <w:color w:val="000000"/>
          <w:sz w:val="24"/>
          <w:szCs w:val="24"/>
          <w:shd w:val="clear" w:color="auto" w:fill="FFFFFF"/>
        </w:rPr>
        <w:t xml:space="preserve">1801 si aprono le prime contrattazioni alla London Stock Exchange </w:t>
      </w:r>
      <w:r w:rsidR="004A66FB">
        <w:rPr>
          <w:color w:val="000000"/>
          <w:sz w:val="24"/>
          <w:szCs w:val="24"/>
          <w:shd w:val="clear" w:color="auto" w:fill="FFFFFF"/>
        </w:rPr>
        <w:t>in</w:t>
      </w:r>
      <w:r w:rsidRPr="575BAD95">
        <w:rPr>
          <w:color w:val="000000"/>
          <w:sz w:val="24"/>
          <w:szCs w:val="24"/>
          <w:shd w:val="clear" w:color="auto" w:fill="FFFFFF"/>
        </w:rPr>
        <w:t xml:space="preserve"> cui si accede sottoscrivendo un atto formale</w:t>
      </w:r>
      <w:r w:rsidR="00B24192" w:rsidRPr="575BAD95">
        <w:rPr>
          <w:color w:val="000000"/>
          <w:sz w:val="24"/>
          <w:szCs w:val="24"/>
          <w:shd w:val="clear" w:color="auto" w:fill="FFFFFF"/>
        </w:rPr>
        <w:t>.</w:t>
      </w:r>
    </w:p>
    <w:p w14:paraId="3C6621AD" w14:textId="2D2AD1B8" w:rsidR="00121271" w:rsidRDefault="00552C76" w:rsidP="575BAD95">
      <w:pPr>
        <w:spacing w:before="240" w:after="0" w:line="276" w:lineRule="auto"/>
        <w:rPr>
          <w:b/>
          <w:bCs/>
          <w:color w:val="000000"/>
          <w:sz w:val="24"/>
          <w:szCs w:val="24"/>
          <w:bdr w:val="none" w:sz="0" w:space="0" w:color="auto" w:frame="1"/>
          <w:shd w:val="clear" w:color="auto" w:fill="FFFFFF"/>
        </w:rPr>
      </w:pPr>
      <w:r w:rsidRPr="575BAD95">
        <w:rPr>
          <w:b/>
          <w:bCs/>
          <w:color w:val="000000"/>
          <w:sz w:val="24"/>
          <w:szCs w:val="24"/>
          <w:bdr w:val="none" w:sz="0" w:space="0" w:color="auto" w:frame="1"/>
          <w:shd w:val="clear" w:color="auto" w:fill="FFFFFF"/>
        </w:rPr>
        <w:t>In Olanda, si assistette nel 1609 all’affermarsi della Borsa di Amsterdam </w:t>
      </w:r>
      <w:r w:rsidRPr="575BAD95">
        <w:rPr>
          <w:color w:val="000000"/>
          <w:sz w:val="24"/>
          <w:szCs w:val="24"/>
          <w:shd w:val="clear" w:color="auto" w:fill="FFFFFF"/>
        </w:rPr>
        <w:t>come il più grande centro di affari e la prima Borsa moderna d'Europa, dopo il declino delle Borse di Bruges e di Anversa.</w:t>
      </w:r>
    </w:p>
    <w:p w14:paraId="57700A3E" w14:textId="77777777" w:rsidR="00437F74" w:rsidRDefault="00D76150" w:rsidP="575BAD95">
      <w:pPr>
        <w:spacing w:before="240" w:after="0" w:line="276" w:lineRule="auto"/>
        <w:rPr>
          <w:color w:val="000000"/>
          <w:sz w:val="24"/>
          <w:szCs w:val="24"/>
        </w:rPr>
      </w:pPr>
      <w:r w:rsidRPr="575BAD95">
        <w:rPr>
          <w:b/>
          <w:bCs/>
          <w:color w:val="000000"/>
          <w:sz w:val="24"/>
          <w:szCs w:val="24"/>
          <w:bdr w:val="none" w:sz="0" w:space="0" w:color="auto" w:frame="1"/>
          <w:shd w:val="clear" w:color="auto" w:fill="FFFFFF"/>
        </w:rPr>
        <w:t>In Germania molte città tedesche </w:t>
      </w:r>
      <w:r w:rsidRPr="575BAD95">
        <w:rPr>
          <w:color w:val="000000"/>
          <w:sz w:val="24"/>
          <w:szCs w:val="24"/>
          <w:shd w:val="clear" w:color="auto" w:fill="FFFFFF"/>
        </w:rPr>
        <w:t>cominciarono a organizzare le proprie Borse</w:t>
      </w:r>
      <w:r w:rsidR="00A56BEC" w:rsidRPr="575BAD95">
        <w:rPr>
          <w:color w:val="000000"/>
          <w:sz w:val="24"/>
          <w:szCs w:val="24"/>
          <w:shd w:val="clear" w:color="auto" w:fill="FFFFFF"/>
        </w:rPr>
        <w:t>.</w:t>
      </w:r>
    </w:p>
    <w:p w14:paraId="5E57851F" w14:textId="3A6BDFA8" w:rsidR="00D76150" w:rsidRPr="00121271" w:rsidRDefault="00D76150" w:rsidP="575BAD95">
      <w:pPr>
        <w:spacing w:before="240" w:after="0" w:line="276" w:lineRule="auto"/>
        <w:rPr>
          <w:b/>
          <w:bCs/>
          <w:color w:val="000000"/>
          <w:sz w:val="24"/>
          <w:szCs w:val="24"/>
          <w:bdr w:val="none" w:sz="0" w:space="0" w:color="auto" w:frame="1"/>
          <w:shd w:val="clear" w:color="auto" w:fill="FFFFFF"/>
        </w:rPr>
      </w:pPr>
      <w:r w:rsidRPr="575BAD95">
        <w:rPr>
          <w:color w:val="000000"/>
          <w:sz w:val="24"/>
          <w:szCs w:val="24"/>
          <w:shd w:val="clear" w:color="auto" w:fill="FFFFFF"/>
        </w:rPr>
        <w:t>In Austria, la fondazione della</w:t>
      </w:r>
      <w:r w:rsidRPr="575BAD95">
        <w:rPr>
          <w:b/>
          <w:bCs/>
          <w:color w:val="000000"/>
          <w:sz w:val="24"/>
          <w:szCs w:val="24"/>
          <w:bdr w:val="none" w:sz="0" w:space="0" w:color="auto" w:frame="1"/>
          <w:shd w:val="clear" w:color="auto" w:fill="FFFFFF"/>
        </w:rPr>
        <w:t> Borsa di Vienna risale al 1771</w:t>
      </w:r>
      <w:r w:rsidRPr="575BAD95">
        <w:rPr>
          <w:color w:val="000000"/>
          <w:sz w:val="24"/>
          <w:szCs w:val="24"/>
          <w:shd w:val="clear" w:color="auto" w:fill="FFFFFF"/>
        </w:rPr>
        <w:t>.</w:t>
      </w:r>
    </w:p>
    <w:p w14:paraId="49E8A81D" w14:textId="0F791BD2" w:rsidR="00D32330" w:rsidRDefault="007C213A" w:rsidP="00227135">
      <w:pPr>
        <w:pStyle w:val="Paragrafoelenco"/>
        <w:numPr>
          <w:ilvl w:val="0"/>
          <w:numId w:val="15"/>
        </w:numPr>
        <w:spacing w:before="240" w:after="0" w:line="276" w:lineRule="auto"/>
        <w:ind w:left="357" w:hanging="357"/>
        <w:rPr>
          <w:rFonts w:cstheme="minorHAnsi"/>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pPr>
      <w:r>
        <w:rPr>
          <w:rFonts w:cstheme="minorHAnsi"/>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t xml:space="preserve">Nascita di Wall Street </w:t>
      </w:r>
    </w:p>
    <w:p w14:paraId="65D2774D" w14:textId="22EDE0CD" w:rsidR="00483DCC" w:rsidRDefault="00240790" w:rsidP="575BAD95">
      <w:pPr>
        <w:spacing w:before="240" w:after="0" w:line="276" w:lineRule="auto"/>
        <w:rPr>
          <w:color w:val="000000"/>
          <w:sz w:val="24"/>
          <w:szCs w:val="24"/>
          <w:shd w:val="clear" w:color="auto" w:fill="FFFFFF"/>
        </w:rPr>
      </w:pPr>
      <w:r w:rsidRPr="575BAD95">
        <w:rPr>
          <w:color w:val="000000"/>
          <w:sz w:val="24"/>
          <w:szCs w:val="24"/>
          <w:shd w:val="clear" w:color="auto" w:fill="FFFFFF"/>
        </w:rPr>
        <w:t>Infine, spostandoci oltre oceano negli Stati Uniti d’America</w:t>
      </w:r>
      <w:r w:rsidRPr="575BAD95">
        <w:rPr>
          <w:b/>
          <w:bCs/>
          <w:color w:val="000000"/>
          <w:sz w:val="24"/>
          <w:szCs w:val="24"/>
          <w:bdr w:val="none" w:sz="0" w:space="0" w:color="auto" w:frame="1"/>
          <w:shd w:val="clear" w:color="auto" w:fill="FFFFFF"/>
        </w:rPr>
        <w:t>, il 17 maggio 1792 nacque la Borsa più grande e più importante del mondo</w:t>
      </w:r>
      <w:r w:rsidR="00C34E2F" w:rsidRPr="575BAD95">
        <w:rPr>
          <w:color w:val="000000"/>
          <w:sz w:val="24"/>
          <w:szCs w:val="24"/>
          <w:bdr w:val="none" w:sz="0" w:space="0" w:color="auto" w:frame="1"/>
          <w:shd w:val="clear" w:color="auto" w:fill="FFFFFF"/>
        </w:rPr>
        <w:t xml:space="preserve">: </w:t>
      </w:r>
      <w:r w:rsidRPr="575BAD95">
        <w:rPr>
          <w:color w:val="000000"/>
          <w:sz w:val="24"/>
          <w:szCs w:val="24"/>
          <w:shd w:val="clear" w:color="auto" w:fill="FFFFFF"/>
        </w:rPr>
        <w:t>il New York Stock Exchange, NYSE, situato nella nota strada di Wall Street, dove si trova tuttora.</w:t>
      </w:r>
    </w:p>
    <w:p w14:paraId="0A50B808" w14:textId="77777777" w:rsidR="00C31530" w:rsidRDefault="00C31530" w:rsidP="00C31530">
      <w:pPr>
        <w:spacing w:line="240" w:lineRule="auto"/>
        <w:rPr>
          <w:rFonts w:cstheme="minorHAnsi"/>
          <w:color w:val="000000"/>
          <w:sz w:val="20"/>
          <w:szCs w:val="20"/>
          <w:shd w:val="clear" w:color="auto" w:fill="FFFFFF"/>
        </w:rPr>
      </w:pPr>
    </w:p>
    <w:p w14:paraId="314A6BAB" w14:textId="13A05E5C" w:rsidR="005D15FD" w:rsidRPr="003A17F5" w:rsidRDefault="00C63B5D" w:rsidP="00C31530">
      <w:pPr>
        <w:spacing w:line="240" w:lineRule="auto"/>
        <w:rPr>
          <w:rFonts w:cstheme="minorHAnsi"/>
          <w:b/>
          <w:color w:val="FFC000" w:themeColor="accent4"/>
          <w:sz w:val="20"/>
          <w:szCs w:val="20"/>
          <w14:textOutline w14:w="0" w14:cap="flat" w14:cmpd="sng" w14:algn="ctr">
            <w14:noFill/>
            <w14:prstDash w14:val="solid"/>
            <w14:round/>
          </w14:textOutline>
          <w14:props3d w14:extrusionH="57150" w14:contourW="0" w14:prstMaterial="softEdge">
            <w14:bevelT w14:w="25400" w14:h="38100" w14:prst="circle"/>
          </w14:props3d>
        </w:rPr>
      </w:pPr>
      <w:r w:rsidRPr="003A17F5">
        <w:rPr>
          <w:rFonts w:cstheme="minorHAnsi"/>
          <w:color w:val="000000"/>
          <w:sz w:val="20"/>
          <w:szCs w:val="20"/>
          <w:shd w:val="clear" w:color="auto" w:fill="FFFFFF"/>
        </w:rPr>
        <w:t xml:space="preserve">Fonte: </w:t>
      </w:r>
      <w:hyperlink r:id="rId10" w:anchor=":~:text=La%20prima%20Borsa%20vera%20e,e%20di%20Palermo%20nel%201862." w:history="1">
        <w:r w:rsidR="00B021AA" w:rsidRPr="003A17F5">
          <w:rPr>
            <w:rStyle w:val="Collegamentoipertestuale"/>
            <w:rFonts w:cstheme="minorHAnsi"/>
            <w:sz w:val="20"/>
            <w:szCs w:val="20"/>
            <w:shd w:val="clear" w:color="auto" w:fill="FFFFFF"/>
          </w:rPr>
          <w:t>https://www.soldionline.it/guide/mercati-finanziari/la-storia-delle-borse-valori-nel-mondo#:~:text=La%20prima%20Borsa%20vera%20e,e%20di%20Palermo%20nel%201862.</w:t>
        </w:r>
      </w:hyperlink>
    </w:p>
    <w:p w14:paraId="1CF7F302" w14:textId="77777777" w:rsidR="005D15FD" w:rsidRDefault="005D15FD" w:rsidP="0005683C">
      <w:pPr>
        <w:rPr>
          <w:rFonts w:cstheme="minorHAnsi"/>
          <w:b/>
          <w:color w:val="FFC000" w:themeColor="accent4"/>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636E114B" w14:textId="77777777" w:rsidR="00BF727D" w:rsidRPr="0070592B" w:rsidRDefault="00BF727D" w:rsidP="0070592B">
      <w:pPr>
        <w:spacing w:line="336" w:lineRule="auto"/>
        <w:rPr>
          <w:rFonts w:cstheme="minorHAnsi"/>
          <w:b/>
          <w:bCs/>
          <w:outline/>
          <w:color w:val="70AD47" w:themeColor="accent6"/>
          <w:sz w:val="32"/>
          <w:szCs w:val="32"/>
          <w14:shadow w14:blurRad="0" w14:dist="38100" w14:dir="2700000" w14:sx="100000" w14:sy="100000" w14:kx="0" w14:ky="0" w14:algn="tl">
            <w14:schemeClr w14:val="accent6">
              <w14:lumMod w14:val="75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6">
                <w14:lumMod w14:val="75000"/>
              </w14:schemeClr>
            </w14:solidFill>
            <w14:prstDash w14:val="solid"/>
            <w14:round/>
          </w14:textOutline>
          <w14:textFill>
            <w14:solidFill>
              <w14:srgbClr w14:val="FFFFFF"/>
            </w14:solidFill>
          </w14:textFill>
        </w:rPr>
      </w:pPr>
    </w:p>
    <w:p w14:paraId="4541E2D6" w14:textId="090D6F28" w:rsidR="0005683C" w:rsidRPr="004A7545" w:rsidRDefault="0005683C" w:rsidP="003016F3">
      <w:pPr>
        <w:pStyle w:val="Paragrafoelenco"/>
        <w:numPr>
          <w:ilvl w:val="0"/>
          <w:numId w:val="2"/>
        </w:numPr>
        <w:spacing w:line="336" w:lineRule="auto"/>
        <w:ind w:left="357" w:hanging="357"/>
        <w:rPr>
          <w:rFonts w:cstheme="minorHAnsi"/>
          <w:b/>
          <w:bCs/>
          <w:outline/>
          <w:color w:val="70AD47" w:themeColor="accent6"/>
          <w:sz w:val="32"/>
          <w:szCs w:val="32"/>
          <w14:shadow w14:blurRad="0" w14:dist="38100" w14:dir="2700000" w14:sx="100000" w14:sy="100000" w14:kx="0" w14:ky="0" w14:algn="tl">
            <w14:schemeClr w14:val="accent6">
              <w14:lumMod w14:val="75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6">
                <w14:lumMod w14:val="75000"/>
              </w14:schemeClr>
            </w14:solidFill>
            <w14:prstDash w14:val="solid"/>
            <w14:round/>
          </w14:textOutline>
          <w14:textFill>
            <w14:solidFill>
              <w14:srgbClr w14:val="FFFFFF"/>
            </w14:solidFill>
          </w14:textFill>
        </w:rPr>
      </w:pPr>
      <w:r w:rsidRPr="004A7545">
        <w:rPr>
          <w:rFonts w:cstheme="minorHAnsi"/>
          <w:b/>
          <w:bCs/>
          <w:outline/>
          <w:color w:val="70AD47" w:themeColor="accent6"/>
          <w:sz w:val="32"/>
          <w:szCs w:val="32"/>
          <w14:shadow w14:blurRad="0" w14:dist="38100" w14:dir="2700000" w14:sx="100000" w14:sy="100000" w14:kx="0" w14:ky="0" w14:algn="tl">
            <w14:schemeClr w14:val="accent6">
              <w14:lumMod w14:val="75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6">
                <w14:lumMod w14:val="75000"/>
              </w14:schemeClr>
            </w14:solidFill>
            <w14:prstDash w14:val="solid"/>
            <w14:round/>
          </w14:textOutline>
          <w14:textFill>
            <w14:solidFill>
              <w14:srgbClr w14:val="FFFFFF"/>
            </w14:solidFill>
          </w14:textFill>
        </w:rPr>
        <w:lastRenderedPageBreak/>
        <w:t xml:space="preserve">Storia Borsa </w:t>
      </w:r>
      <w:r w:rsidR="006657D7">
        <w:rPr>
          <w:rFonts w:cstheme="minorHAnsi"/>
          <w:b/>
          <w:bCs/>
          <w:outline/>
          <w:color w:val="70AD47" w:themeColor="accent6"/>
          <w:sz w:val="32"/>
          <w:szCs w:val="32"/>
          <w14:shadow w14:blurRad="0" w14:dist="38100" w14:dir="2700000" w14:sx="100000" w14:sy="100000" w14:kx="0" w14:ky="0" w14:algn="tl">
            <w14:schemeClr w14:val="accent6">
              <w14:lumMod w14:val="75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6">
                <w14:lumMod w14:val="75000"/>
              </w14:schemeClr>
            </w14:solidFill>
            <w14:prstDash w14:val="solid"/>
            <w14:round/>
          </w14:textOutline>
          <w14:textFill>
            <w14:solidFill>
              <w14:srgbClr w14:val="FFFFFF"/>
            </w14:solidFill>
          </w14:textFill>
        </w:rPr>
        <w:t>v</w:t>
      </w:r>
      <w:r w:rsidRPr="004A7545">
        <w:rPr>
          <w:rFonts w:cstheme="minorHAnsi"/>
          <w:b/>
          <w:bCs/>
          <w:outline/>
          <w:color w:val="70AD47" w:themeColor="accent6"/>
          <w:sz w:val="32"/>
          <w:szCs w:val="32"/>
          <w14:shadow w14:blurRad="0" w14:dist="38100" w14:dir="2700000" w14:sx="100000" w14:sy="100000" w14:kx="0" w14:ky="0" w14:algn="tl">
            <w14:schemeClr w14:val="accent6">
              <w14:lumMod w14:val="75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6">
                <w14:lumMod w14:val="75000"/>
              </w14:schemeClr>
            </w14:solidFill>
            <w14:prstDash w14:val="solid"/>
            <w14:round/>
          </w14:textOutline>
          <w14:textFill>
            <w14:solidFill>
              <w14:srgbClr w14:val="FFFFFF"/>
            </w14:solidFill>
          </w14:textFill>
        </w:rPr>
        <w:t>alori italiana</w:t>
      </w:r>
    </w:p>
    <w:p w14:paraId="7F4EB8D9" w14:textId="6FBEC8A8" w:rsidR="00327AC8" w:rsidRPr="00644E5A" w:rsidRDefault="001D6F13" w:rsidP="00227135">
      <w:pPr>
        <w:pStyle w:val="Paragrafoelenco"/>
        <w:numPr>
          <w:ilvl w:val="0"/>
          <w:numId w:val="30"/>
        </w:numPr>
        <w:spacing w:before="240" w:after="0" w:line="276" w:lineRule="auto"/>
        <w:ind w:left="357" w:hanging="357"/>
        <w:rPr>
          <w:color w:val="66FF66"/>
          <w:sz w:val="24"/>
          <w:szCs w:val="24"/>
        </w:rPr>
      </w:pPr>
      <w:r w:rsidRPr="00644E5A">
        <w:rPr>
          <w:b/>
          <w:color w:val="66FF66"/>
          <w:sz w:val="24"/>
          <w:szCs w:val="24"/>
          <w14:textOutline w14:w="0" w14:cap="flat" w14:cmpd="sng" w14:algn="ctr">
            <w14:noFill/>
            <w14:prstDash w14:val="solid"/>
            <w14:round/>
          </w14:textOutline>
          <w14:props3d w14:extrusionH="57150" w14:contourW="0" w14:prstMaterial="softEdge">
            <w14:bevelT w14:w="25400" w14:h="38100" w14:prst="circle"/>
          </w14:props3d>
        </w:rPr>
        <w:t>Le</w:t>
      </w:r>
      <w:r w:rsidRPr="00644E5A">
        <w:rPr>
          <w:color w:val="66FF66"/>
          <w:sz w:val="24"/>
          <w:szCs w:val="24"/>
        </w:rPr>
        <w:t xml:space="preserve"> </w:t>
      </w:r>
      <w:r w:rsidRPr="00644E5A">
        <w:rPr>
          <w:b/>
          <w:color w:val="66FF66"/>
          <w:sz w:val="24"/>
          <w:szCs w:val="24"/>
          <w14:textOutline w14:w="0" w14:cap="flat" w14:cmpd="sng" w14:algn="ctr">
            <w14:noFill/>
            <w14:prstDash w14:val="solid"/>
            <w14:round/>
          </w14:textOutline>
          <w14:props3d w14:extrusionH="57150" w14:contourW="0" w14:prstMaterial="softEdge">
            <w14:bevelT w14:w="25400" w14:h="38100" w14:prst="circle"/>
          </w14:props3d>
        </w:rPr>
        <w:t>origini</w:t>
      </w:r>
    </w:p>
    <w:p w14:paraId="2FA6AD93" w14:textId="3D550D27" w:rsidR="00F356A8" w:rsidRPr="00E02CB7" w:rsidRDefault="00F356A8" w:rsidP="00AA76EB">
      <w:pPr>
        <w:shd w:val="clear" w:color="auto" w:fill="FFFFFF" w:themeFill="background1"/>
        <w:spacing w:before="240" w:after="0" w:line="276" w:lineRule="auto"/>
        <w:rPr>
          <w:rFonts w:cstheme="minorHAnsi"/>
          <w:color w:val="000000"/>
          <w:sz w:val="24"/>
          <w:szCs w:val="24"/>
          <w:shd w:val="clear" w:color="auto" w:fill="FFFFFF"/>
        </w:rPr>
      </w:pPr>
      <w:r w:rsidRPr="00E02CB7">
        <w:rPr>
          <w:rFonts w:cstheme="minorHAnsi"/>
          <w:b/>
          <w:bCs/>
          <w:color w:val="000000"/>
          <w:sz w:val="24"/>
          <w:szCs w:val="24"/>
          <w:bdr w:val="none" w:sz="0" w:space="0" w:color="auto" w:frame="1"/>
          <w:shd w:val="clear" w:color="auto" w:fill="FFFFFF"/>
        </w:rPr>
        <w:t xml:space="preserve">In Italia, già durante il Medioevo e il Rinascimento </w:t>
      </w:r>
      <w:r w:rsidRPr="008E64A6">
        <w:rPr>
          <w:rFonts w:cstheme="minorHAnsi"/>
          <w:color w:val="000000"/>
          <w:sz w:val="24"/>
          <w:szCs w:val="24"/>
          <w:bdr w:val="none" w:sz="0" w:space="0" w:color="auto" w:frame="1"/>
          <w:shd w:val="clear" w:color="auto" w:fill="FFFFFF"/>
        </w:rPr>
        <w:t xml:space="preserve">si </w:t>
      </w:r>
      <w:r w:rsidR="00F653AE" w:rsidRPr="008E64A6">
        <w:rPr>
          <w:rFonts w:cstheme="minorHAnsi"/>
          <w:color w:val="000000"/>
          <w:sz w:val="24"/>
          <w:szCs w:val="24"/>
          <w:bdr w:val="none" w:sz="0" w:space="0" w:color="auto" w:frame="1"/>
          <w:shd w:val="clear" w:color="auto" w:fill="FFFFFF"/>
        </w:rPr>
        <w:t xml:space="preserve">svilupparono </w:t>
      </w:r>
      <w:r w:rsidRPr="008E64A6">
        <w:rPr>
          <w:rFonts w:cstheme="minorHAnsi"/>
          <w:color w:val="000000"/>
          <w:sz w:val="24"/>
          <w:szCs w:val="24"/>
          <w:bdr w:val="none" w:sz="0" w:space="0" w:color="auto" w:frame="1"/>
          <w:shd w:val="clear" w:color="auto" w:fill="FFFFFF"/>
        </w:rPr>
        <w:t>dei mercati</w:t>
      </w:r>
      <w:r w:rsidRPr="00E02CB7">
        <w:rPr>
          <w:rFonts w:cstheme="minorHAnsi"/>
          <w:color w:val="000000"/>
          <w:sz w:val="24"/>
          <w:szCs w:val="24"/>
          <w:shd w:val="clear" w:color="auto" w:fill="FFFFFF"/>
        </w:rPr>
        <w:t> organizzati pubblici come il Mercato nuovo di Firenze o il Rialto di Venezia o come le fiere dei cambi. La prima Borsa vera e propria fu istituita a Venezia nel 1600; in seguito sorsero le Borse di Trieste, Roma</w:t>
      </w:r>
      <w:r w:rsidR="000E0553" w:rsidRPr="00E02CB7">
        <w:rPr>
          <w:rFonts w:cstheme="minorHAnsi"/>
          <w:color w:val="000000"/>
          <w:sz w:val="24"/>
          <w:szCs w:val="24"/>
          <w:shd w:val="clear" w:color="auto" w:fill="FFFFFF"/>
        </w:rPr>
        <w:t>,</w:t>
      </w:r>
      <w:r w:rsidRPr="00E02CB7">
        <w:rPr>
          <w:rFonts w:cstheme="minorHAnsi"/>
          <w:color w:val="000000"/>
          <w:sz w:val="24"/>
          <w:szCs w:val="24"/>
          <w:shd w:val="clear" w:color="auto" w:fill="FFFFFF"/>
        </w:rPr>
        <w:t xml:space="preserve"> Firenze, Napoli,</w:t>
      </w:r>
      <w:r w:rsidR="00850E51" w:rsidRPr="00E02CB7">
        <w:rPr>
          <w:rFonts w:cstheme="minorHAnsi"/>
          <w:color w:val="000000"/>
          <w:sz w:val="24"/>
          <w:szCs w:val="24"/>
          <w:shd w:val="clear" w:color="auto" w:fill="FFFFFF"/>
        </w:rPr>
        <w:t xml:space="preserve"> </w:t>
      </w:r>
      <w:r w:rsidRPr="00E02CB7">
        <w:rPr>
          <w:rFonts w:cstheme="minorHAnsi"/>
          <w:color w:val="000000"/>
          <w:sz w:val="24"/>
          <w:szCs w:val="24"/>
          <w:shd w:val="clear" w:color="auto" w:fill="FFFFFF"/>
        </w:rPr>
        <w:t>Torino, Genova, Bologna e Palermo</w:t>
      </w:r>
      <w:r w:rsidR="5A5BCCAE" w:rsidRPr="00E02CB7">
        <w:rPr>
          <w:rFonts w:cstheme="minorHAnsi"/>
          <w:color w:val="000000"/>
          <w:sz w:val="24"/>
          <w:szCs w:val="24"/>
          <w:shd w:val="clear" w:color="auto" w:fill="FFFFFF"/>
        </w:rPr>
        <w:t xml:space="preserve"> e </w:t>
      </w:r>
      <w:r w:rsidR="5A5BCCAE" w:rsidRPr="00E02CB7">
        <w:rPr>
          <w:rFonts w:cstheme="minorHAnsi"/>
          <w:b/>
          <w:bCs/>
          <w:color w:val="000000"/>
          <w:sz w:val="24"/>
          <w:szCs w:val="24"/>
          <w:shd w:val="clear" w:color="auto" w:fill="FFFFFF"/>
        </w:rPr>
        <w:t>Milano</w:t>
      </w:r>
      <w:r w:rsidRPr="00E02CB7">
        <w:rPr>
          <w:rFonts w:cstheme="minorHAnsi"/>
          <w:color w:val="000000"/>
          <w:sz w:val="24"/>
          <w:szCs w:val="24"/>
          <w:shd w:val="clear" w:color="auto" w:fill="FFFFFF"/>
        </w:rPr>
        <w:t>.</w:t>
      </w:r>
      <w:r w:rsidR="004F0793" w:rsidRPr="00E02CB7">
        <w:rPr>
          <w:rFonts w:cstheme="minorHAnsi"/>
          <w:color w:val="000000"/>
          <w:sz w:val="24"/>
          <w:szCs w:val="24"/>
          <w:shd w:val="clear" w:color="auto" w:fill="FFFFFF"/>
        </w:rPr>
        <w:t xml:space="preserve"> </w:t>
      </w:r>
    </w:p>
    <w:p w14:paraId="026F7618" w14:textId="64389AF1" w:rsidR="009813A7" w:rsidRPr="00D14801" w:rsidRDefault="00D14801" w:rsidP="00227135">
      <w:pPr>
        <w:pStyle w:val="Paragrafoelenco"/>
        <w:numPr>
          <w:ilvl w:val="0"/>
          <w:numId w:val="30"/>
        </w:numPr>
        <w:spacing w:before="240" w:after="0" w:line="276" w:lineRule="auto"/>
        <w:ind w:left="357" w:hanging="357"/>
        <w:rPr>
          <w:b/>
          <w:color w:val="66FF66"/>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D14801">
        <w:rPr>
          <w:b/>
          <w:color w:val="66FF66"/>
          <w:sz w:val="24"/>
          <w:szCs w:val="24"/>
          <w14:textOutline w14:w="0" w14:cap="flat" w14:cmpd="sng" w14:algn="ctr">
            <w14:noFill/>
            <w14:prstDash w14:val="solid"/>
            <w14:round/>
          </w14:textOutline>
          <w14:props3d w14:extrusionH="57150" w14:contourW="0" w14:prstMaterial="softEdge">
            <w14:bevelT w14:w="25400" w14:h="38100" w14:prst="circle"/>
          </w14:props3d>
        </w:rPr>
        <w:t>La Borsa di Milano</w:t>
      </w:r>
    </w:p>
    <w:p w14:paraId="23F8FA69" w14:textId="1C620AAE" w:rsidR="004A2E0D" w:rsidRPr="004A2E0D" w:rsidRDefault="5C731F35" w:rsidP="005B3CF4">
      <w:pPr>
        <w:spacing w:before="240" w:after="240" w:line="276" w:lineRule="auto"/>
        <w:rPr>
          <w:rFonts w:eastAsia="Calibri" w:cstheme="minorHAnsi"/>
          <w:i/>
          <w:iCs/>
          <w:color w:val="252631"/>
          <w:sz w:val="24"/>
          <w:szCs w:val="24"/>
        </w:rPr>
      </w:pPr>
      <w:r w:rsidRPr="004A2E0D">
        <w:rPr>
          <w:rFonts w:eastAsia="Calibri" w:cstheme="minorHAnsi"/>
          <w:i/>
          <w:iCs/>
          <w:color w:val="252631"/>
          <w:sz w:val="24"/>
          <w:szCs w:val="24"/>
        </w:rPr>
        <w:t>Ci spostiamo verso la Borsa di Milano perché essa diventerà l’unica Borsa</w:t>
      </w:r>
      <w:r w:rsidR="00AF597A">
        <w:rPr>
          <w:rFonts w:eastAsia="Calibri" w:cstheme="minorHAnsi"/>
          <w:i/>
          <w:iCs/>
          <w:color w:val="252631"/>
          <w:sz w:val="24"/>
          <w:szCs w:val="24"/>
        </w:rPr>
        <w:t xml:space="preserve"> valori </w:t>
      </w:r>
      <w:r w:rsidRPr="004A2E0D">
        <w:rPr>
          <w:rFonts w:eastAsia="Calibri" w:cstheme="minorHAnsi"/>
          <w:i/>
          <w:iCs/>
          <w:color w:val="252631"/>
          <w:sz w:val="24"/>
          <w:szCs w:val="24"/>
        </w:rPr>
        <w:t>in Italia accorpando tutte le altre Borse valori minori appena citate. Ma arriviamoci passo per passo.</w:t>
      </w:r>
    </w:p>
    <w:p w14:paraId="459EC0D7" w14:textId="2525FD29" w:rsidR="5C731F35" w:rsidRPr="00E02CB7" w:rsidRDefault="5C731F35" w:rsidP="005B3CF4">
      <w:pPr>
        <w:spacing w:before="240" w:after="240" w:line="276" w:lineRule="auto"/>
        <w:rPr>
          <w:rFonts w:eastAsia="Calibri" w:cstheme="minorHAnsi"/>
          <w:color w:val="000000" w:themeColor="text1"/>
          <w:sz w:val="24"/>
          <w:szCs w:val="24"/>
        </w:rPr>
      </w:pPr>
      <w:r w:rsidRPr="00E02CB7">
        <w:rPr>
          <w:rFonts w:eastAsia="Calibri" w:cstheme="minorHAnsi"/>
          <w:color w:val="000000" w:themeColor="text1"/>
          <w:sz w:val="24"/>
          <w:szCs w:val="24"/>
        </w:rPr>
        <w:t xml:space="preserve">La Borsa </w:t>
      </w:r>
      <w:r w:rsidR="00DE09E3">
        <w:rPr>
          <w:rFonts w:eastAsia="Calibri" w:cstheme="minorHAnsi"/>
          <w:color w:val="000000" w:themeColor="text1"/>
          <w:sz w:val="24"/>
          <w:szCs w:val="24"/>
        </w:rPr>
        <w:t>v</w:t>
      </w:r>
      <w:r w:rsidRPr="00E02CB7">
        <w:rPr>
          <w:rFonts w:eastAsia="Calibri" w:cstheme="minorHAnsi"/>
          <w:color w:val="000000" w:themeColor="text1"/>
          <w:sz w:val="24"/>
          <w:szCs w:val="24"/>
        </w:rPr>
        <w:t xml:space="preserve">alori di Milano fu istituita nel </w:t>
      </w:r>
      <w:r w:rsidRPr="00E02CB7">
        <w:rPr>
          <w:rFonts w:eastAsia="Calibri" w:cstheme="minorHAnsi"/>
          <w:b/>
          <w:bCs/>
          <w:color w:val="000000" w:themeColor="text1"/>
          <w:sz w:val="24"/>
          <w:szCs w:val="24"/>
        </w:rPr>
        <w:t>gennaio del 1808</w:t>
      </w:r>
      <w:r w:rsidRPr="00E02CB7">
        <w:rPr>
          <w:rFonts w:eastAsia="Calibri" w:cstheme="minorHAnsi"/>
          <w:color w:val="000000" w:themeColor="text1"/>
          <w:sz w:val="24"/>
          <w:szCs w:val="24"/>
        </w:rPr>
        <w:t xml:space="preserve">, attraverso un decreto napoleonico del </w:t>
      </w:r>
      <w:r w:rsidR="2447E6F4" w:rsidRPr="00E02CB7">
        <w:rPr>
          <w:rFonts w:eastAsia="Calibri" w:cstheme="minorHAnsi"/>
          <w:color w:val="000000" w:themeColor="text1"/>
          <w:sz w:val="24"/>
          <w:szCs w:val="24"/>
        </w:rPr>
        <w:t>Viceré</w:t>
      </w:r>
      <w:r w:rsidRPr="00E02CB7">
        <w:rPr>
          <w:rFonts w:eastAsia="Calibri" w:cstheme="minorHAnsi"/>
          <w:color w:val="000000" w:themeColor="text1"/>
          <w:sz w:val="24"/>
          <w:szCs w:val="24"/>
        </w:rPr>
        <w:t xml:space="preserve"> d’Italia Eugenio di Beauharnais, che stabilì</w:t>
      </w:r>
      <w:r w:rsidR="00CA7174">
        <w:rPr>
          <w:rFonts w:eastAsia="Calibri" w:cstheme="minorHAnsi"/>
          <w:color w:val="000000" w:themeColor="text1"/>
          <w:sz w:val="24"/>
          <w:szCs w:val="24"/>
        </w:rPr>
        <w:t xml:space="preserve">, inoltre, </w:t>
      </w:r>
      <w:r w:rsidRPr="00E02CB7">
        <w:rPr>
          <w:rFonts w:eastAsia="Calibri" w:cstheme="minorHAnsi"/>
          <w:color w:val="000000" w:themeColor="text1"/>
          <w:sz w:val="24"/>
          <w:szCs w:val="24"/>
        </w:rPr>
        <w:t xml:space="preserve">le prime regole della </w:t>
      </w:r>
      <w:r w:rsidR="00A962C3">
        <w:rPr>
          <w:rFonts w:eastAsia="Calibri" w:cstheme="minorHAnsi"/>
          <w:color w:val="000000" w:themeColor="text1"/>
          <w:sz w:val="24"/>
          <w:szCs w:val="24"/>
        </w:rPr>
        <w:t>B</w:t>
      </w:r>
      <w:r w:rsidRPr="00E02CB7">
        <w:rPr>
          <w:rFonts w:eastAsia="Calibri" w:cstheme="minorHAnsi"/>
          <w:color w:val="000000" w:themeColor="text1"/>
          <w:sz w:val="24"/>
          <w:szCs w:val="24"/>
        </w:rPr>
        <w:t xml:space="preserve">orsa. Sulla base del regolamento del 1808 la Borsa di commercio di Milano nominò un </w:t>
      </w:r>
      <w:r w:rsidRPr="00B0295E">
        <w:rPr>
          <w:rFonts w:eastAsia="Calibri" w:cstheme="minorHAnsi"/>
          <w:b/>
          <w:bCs/>
          <w:color w:val="000000" w:themeColor="text1"/>
          <w:sz w:val="24"/>
          <w:szCs w:val="24"/>
        </w:rPr>
        <w:t>sindaco e quattro aggiunti</w:t>
      </w:r>
      <w:r w:rsidRPr="00E02CB7">
        <w:rPr>
          <w:rFonts w:eastAsia="Calibri" w:cstheme="minorHAnsi"/>
          <w:color w:val="000000" w:themeColor="text1"/>
          <w:sz w:val="24"/>
          <w:szCs w:val="24"/>
        </w:rPr>
        <w:t xml:space="preserve"> con il compito di presiedere le sedute. Il suo primo presidente fu Carlo Ciani, che aveva dietro di sé una grande </w:t>
      </w:r>
      <w:r w:rsidR="00CA37AA">
        <w:rPr>
          <w:rFonts w:eastAsia="Calibri" w:cstheme="minorHAnsi"/>
          <w:color w:val="000000" w:themeColor="text1"/>
          <w:sz w:val="24"/>
          <w:szCs w:val="24"/>
        </w:rPr>
        <w:t>esperienza</w:t>
      </w:r>
      <w:r w:rsidRPr="00E02CB7">
        <w:rPr>
          <w:rFonts w:eastAsia="Calibri" w:cstheme="minorHAnsi"/>
          <w:color w:val="000000" w:themeColor="text1"/>
          <w:sz w:val="24"/>
          <w:szCs w:val="24"/>
        </w:rPr>
        <w:t xml:space="preserve"> d</w:t>
      </w:r>
      <w:r w:rsidR="00CA37AA">
        <w:rPr>
          <w:rFonts w:eastAsia="Calibri" w:cstheme="minorHAnsi"/>
          <w:color w:val="000000" w:themeColor="text1"/>
          <w:sz w:val="24"/>
          <w:szCs w:val="24"/>
        </w:rPr>
        <w:t>a</w:t>
      </w:r>
      <w:r w:rsidRPr="00E02CB7">
        <w:rPr>
          <w:rFonts w:eastAsia="Calibri" w:cstheme="minorHAnsi"/>
          <w:color w:val="000000" w:themeColor="text1"/>
          <w:sz w:val="24"/>
          <w:szCs w:val="24"/>
        </w:rPr>
        <w:t xml:space="preserve"> banchier</w:t>
      </w:r>
      <w:r w:rsidR="00CA37AA">
        <w:rPr>
          <w:rFonts w:eastAsia="Calibri" w:cstheme="minorHAnsi"/>
          <w:color w:val="000000" w:themeColor="text1"/>
          <w:sz w:val="24"/>
          <w:szCs w:val="24"/>
        </w:rPr>
        <w:t>e</w:t>
      </w:r>
      <w:r w:rsidRPr="00E02CB7">
        <w:rPr>
          <w:rFonts w:eastAsia="Calibri" w:cstheme="minorHAnsi"/>
          <w:color w:val="000000" w:themeColor="text1"/>
          <w:sz w:val="24"/>
          <w:szCs w:val="24"/>
        </w:rPr>
        <w:t xml:space="preserve"> e uom</w:t>
      </w:r>
      <w:r w:rsidR="00CA37AA">
        <w:rPr>
          <w:rFonts w:eastAsia="Calibri" w:cstheme="minorHAnsi"/>
          <w:color w:val="000000" w:themeColor="text1"/>
          <w:sz w:val="24"/>
          <w:szCs w:val="24"/>
        </w:rPr>
        <w:t>o</w:t>
      </w:r>
      <w:r w:rsidRPr="00E02CB7">
        <w:rPr>
          <w:rFonts w:eastAsia="Calibri" w:cstheme="minorHAnsi"/>
          <w:color w:val="000000" w:themeColor="text1"/>
          <w:sz w:val="24"/>
          <w:szCs w:val="24"/>
        </w:rPr>
        <w:t xml:space="preserve"> d’affari.</w:t>
      </w:r>
    </w:p>
    <w:p w14:paraId="5B84F2E7" w14:textId="6DF4A15E" w:rsidR="5C731F35" w:rsidRPr="00D2714F" w:rsidRDefault="5C731F35" w:rsidP="00C011CA">
      <w:pPr>
        <w:pStyle w:val="Paragrafoelenco"/>
        <w:numPr>
          <w:ilvl w:val="0"/>
          <w:numId w:val="35"/>
        </w:numPr>
        <w:spacing w:before="240" w:after="0" w:line="276" w:lineRule="auto"/>
        <w:ind w:left="357" w:hanging="357"/>
        <w:rPr>
          <w:rFonts w:ascii="Calibri" w:eastAsia="Calibri" w:hAnsi="Calibri" w:cs="Calibri"/>
          <w:color w:val="000000" w:themeColor="text1"/>
          <w:sz w:val="24"/>
          <w:szCs w:val="24"/>
        </w:rPr>
      </w:pPr>
      <w:r w:rsidRPr="00D2714F">
        <w:rPr>
          <w:rFonts w:eastAsiaTheme="minorEastAsia"/>
          <w:b/>
          <w:bCs/>
          <w:color w:val="66FF66"/>
          <w:sz w:val="24"/>
          <w:szCs w:val="24"/>
        </w:rPr>
        <w:t xml:space="preserve">Tra gli anni </w:t>
      </w:r>
      <w:r w:rsidRPr="00C011CA">
        <w:rPr>
          <w:rFonts w:eastAsiaTheme="minorEastAsia"/>
          <w:b/>
          <w:bCs/>
          <w:color w:val="66FF66"/>
          <w:sz w:val="24"/>
          <w:szCs w:val="24"/>
        </w:rPr>
        <w:t>30 e 60 del</w:t>
      </w:r>
      <w:r w:rsidRPr="00D2714F">
        <w:rPr>
          <w:rFonts w:eastAsiaTheme="minorEastAsia"/>
          <w:b/>
          <w:bCs/>
          <w:color w:val="66FF66"/>
          <w:sz w:val="24"/>
          <w:szCs w:val="24"/>
        </w:rPr>
        <w:t xml:space="preserve"> 1800</w:t>
      </w:r>
    </w:p>
    <w:p w14:paraId="05FA7042" w14:textId="1A89B4A3" w:rsidR="5C731F35" w:rsidRPr="00E02CB7" w:rsidRDefault="5C731F35" w:rsidP="005B3CF4">
      <w:pPr>
        <w:spacing w:before="240" w:after="240" w:line="276" w:lineRule="auto"/>
        <w:rPr>
          <w:rFonts w:cstheme="minorHAnsi"/>
        </w:rPr>
      </w:pPr>
      <w:r w:rsidRPr="00E02CB7">
        <w:rPr>
          <w:rFonts w:eastAsia="Calibri" w:cstheme="minorHAnsi"/>
          <w:color w:val="000000" w:themeColor="text1"/>
          <w:sz w:val="24"/>
          <w:szCs w:val="24"/>
        </w:rPr>
        <w:t xml:space="preserve">A partire dagli anni ’30 dell'Ottocento, il mercato finanziario del Lombardo-Veneto si consolidò, sospinto inizialmente dallo sviluppo dell’industria e del commercio. Nel </w:t>
      </w:r>
      <w:r w:rsidRPr="00A94BAB">
        <w:rPr>
          <w:rFonts w:eastAsia="Calibri" w:cstheme="minorHAnsi"/>
          <w:b/>
          <w:bCs/>
          <w:color w:val="000000" w:themeColor="text1"/>
          <w:sz w:val="24"/>
          <w:szCs w:val="24"/>
        </w:rPr>
        <w:t>1832</w:t>
      </w:r>
      <w:r w:rsidRPr="00E02CB7">
        <w:rPr>
          <w:rFonts w:eastAsia="Calibri" w:cstheme="minorHAnsi"/>
          <w:color w:val="000000" w:themeColor="text1"/>
          <w:sz w:val="24"/>
          <w:szCs w:val="24"/>
        </w:rPr>
        <w:t xml:space="preserve"> il periodico cittadino “Il termometro mercantile e d’industria” pubblicava le quotazioni di </w:t>
      </w:r>
      <w:r w:rsidRPr="00A72EF9">
        <w:rPr>
          <w:rFonts w:eastAsia="Calibri" w:cstheme="minorHAnsi"/>
          <w:b/>
          <w:bCs/>
          <w:color w:val="000000" w:themeColor="text1"/>
          <w:sz w:val="24"/>
          <w:szCs w:val="24"/>
        </w:rPr>
        <w:t>quattro titoli del debito pubblico</w:t>
      </w:r>
      <w:r w:rsidRPr="00E02CB7">
        <w:rPr>
          <w:rFonts w:eastAsia="Calibri" w:cstheme="minorHAnsi"/>
          <w:color w:val="000000" w:themeColor="text1"/>
          <w:sz w:val="24"/>
          <w:szCs w:val="24"/>
        </w:rPr>
        <w:t xml:space="preserve"> correntemente trattati alla Borsa di Milano; nel </w:t>
      </w:r>
      <w:r w:rsidRPr="00A94BAB">
        <w:rPr>
          <w:rFonts w:eastAsia="Calibri" w:cstheme="minorHAnsi"/>
          <w:b/>
          <w:bCs/>
          <w:color w:val="000000" w:themeColor="text1"/>
          <w:sz w:val="24"/>
          <w:szCs w:val="24"/>
        </w:rPr>
        <w:t>1841</w:t>
      </w:r>
      <w:r w:rsidRPr="00E02CB7">
        <w:rPr>
          <w:rFonts w:eastAsia="Calibri" w:cstheme="minorHAnsi"/>
          <w:color w:val="000000" w:themeColor="text1"/>
          <w:sz w:val="24"/>
          <w:szCs w:val="24"/>
        </w:rPr>
        <w:t xml:space="preserve"> i titoli pubblici rilevati dal “Bollettino dell'eco della </w:t>
      </w:r>
      <w:r w:rsidR="00A962C3">
        <w:rPr>
          <w:rFonts w:eastAsia="Calibri" w:cstheme="minorHAnsi"/>
          <w:color w:val="000000" w:themeColor="text1"/>
          <w:sz w:val="24"/>
          <w:szCs w:val="24"/>
        </w:rPr>
        <w:t>B</w:t>
      </w:r>
      <w:r w:rsidRPr="00E02CB7">
        <w:rPr>
          <w:rFonts w:eastAsia="Calibri" w:cstheme="minorHAnsi"/>
          <w:color w:val="000000" w:themeColor="text1"/>
          <w:sz w:val="24"/>
          <w:szCs w:val="24"/>
        </w:rPr>
        <w:t>orsa”</w:t>
      </w:r>
      <w:r w:rsidR="007E214E">
        <w:rPr>
          <w:rFonts w:eastAsia="Calibri" w:cstheme="minorHAnsi"/>
          <w:color w:val="000000" w:themeColor="text1"/>
          <w:sz w:val="24"/>
          <w:szCs w:val="24"/>
        </w:rPr>
        <w:t xml:space="preserve"> </w:t>
      </w:r>
      <w:r w:rsidR="007E214E" w:rsidRPr="00A94BAB">
        <w:rPr>
          <w:rFonts w:eastAsia="Calibri" w:cstheme="minorHAnsi"/>
          <w:b/>
          <w:bCs/>
          <w:color w:val="000000" w:themeColor="text1"/>
          <w:sz w:val="24"/>
          <w:szCs w:val="24"/>
        </w:rPr>
        <w:t>erano saliti a sette</w:t>
      </w:r>
      <w:r w:rsidRPr="00E02CB7">
        <w:rPr>
          <w:rFonts w:eastAsia="Calibri" w:cstheme="minorHAnsi"/>
          <w:color w:val="000000" w:themeColor="text1"/>
          <w:sz w:val="24"/>
          <w:szCs w:val="24"/>
        </w:rPr>
        <w:t xml:space="preserve">. Infine, nel </w:t>
      </w:r>
      <w:r w:rsidRPr="001F6920">
        <w:rPr>
          <w:rFonts w:eastAsia="Calibri" w:cstheme="minorHAnsi"/>
          <w:b/>
          <w:bCs/>
          <w:color w:val="000000" w:themeColor="text1"/>
          <w:sz w:val="24"/>
          <w:szCs w:val="24"/>
        </w:rPr>
        <w:t>1858</w:t>
      </w:r>
      <w:r w:rsidRPr="00E02CB7">
        <w:rPr>
          <w:rFonts w:eastAsia="Calibri" w:cstheme="minorHAnsi"/>
          <w:color w:val="000000" w:themeColor="text1"/>
          <w:sz w:val="24"/>
          <w:szCs w:val="24"/>
        </w:rPr>
        <w:t>, accanto a otto titoli del debito pubblico</w:t>
      </w:r>
      <w:r w:rsidR="00D273D0">
        <w:rPr>
          <w:rFonts w:eastAsia="Calibri" w:cstheme="minorHAnsi"/>
          <w:color w:val="000000" w:themeColor="text1"/>
          <w:sz w:val="24"/>
          <w:szCs w:val="24"/>
        </w:rPr>
        <w:t>,</w:t>
      </w:r>
      <w:r w:rsidRPr="00E02CB7">
        <w:rPr>
          <w:rFonts w:eastAsia="Calibri" w:cstheme="minorHAnsi"/>
          <w:color w:val="000000" w:themeColor="text1"/>
          <w:sz w:val="24"/>
          <w:szCs w:val="24"/>
        </w:rPr>
        <w:t xml:space="preserve"> compariva a listino il </w:t>
      </w:r>
      <w:r w:rsidRPr="001F6920">
        <w:rPr>
          <w:rFonts w:eastAsia="Calibri" w:cstheme="minorHAnsi"/>
          <w:b/>
          <w:bCs/>
          <w:color w:val="000000" w:themeColor="text1"/>
          <w:sz w:val="24"/>
          <w:szCs w:val="24"/>
        </w:rPr>
        <w:t>primo titolo azionario</w:t>
      </w:r>
      <w:r w:rsidR="00D67006">
        <w:rPr>
          <w:rFonts w:eastAsia="Calibri" w:cstheme="minorHAnsi"/>
          <w:color w:val="000000" w:themeColor="text1"/>
          <w:sz w:val="24"/>
          <w:szCs w:val="24"/>
        </w:rPr>
        <w:t>:</w:t>
      </w:r>
      <w:r w:rsidR="002731E6" w:rsidRPr="002731E6">
        <w:rPr>
          <w:rFonts w:eastAsia="Calibri" w:cstheme="minorHAnsi"/>
          <w:color w:val="000000" w:themeColor="text1"/>
          <w:sz w:val="24"/>
          <w:szCs w:val="24"/>
        </w:rPr>
        <w:t xml:space="preserve"> quello della Società delle strade ferrate del Lombardo-Veneto</w:t>
      </w:r>
      <w:r w:rsidR="007252C9">
        <w:rPr>
          <w:rFonts w:eastAsia="Calibri" w:cstheme="minorHAnsi"/>
          <w:color w:val="000000" w:themeColor="text1"/>
          <w:sz w:val="24"/>
          <w:szCs w:val="24"/>
        </w:rPr>
        <w:t>.</w:t>
      </w:r>
    </w:p>
    <w:p w14:paraId="75FD1C18" w14:textId="139A5A1A" w:rsidR="5C731F35" w:rsidRPr="00D2714F" w:rsidRDefault="5C731F35" w:rsidP="00C011CA">
      <w:pPr>
        <w:pStyle w:val="Paragrafoelenco"/>
        <w:numPr>
          <w:ilvl w:val="0"/>
          <w:numId w:val="35"/>
        </w:numPr>
        <w:spacing w:before="240" w:after="0" w:line="276" w:lineRule="auto"/>
        <w:ind w:left="357" w:hanging="357"/>
        <w:rPr>
          <w:rFonts w:eastAsiaTheme="minorEastAsia"/>
          <w:b/>
          <w:bCs/>
          <w:color w:val="66FF66"/>
          <w:sz w:val="24"/>
          <w:szCs w:val="24"/>
        </w:rPr>
      </w:pPr>
      <w:r w:rsidRPr="00D2714F">
        <w:rPr>
          <w:rFonts w:eastAsiaTheme="minorEastAsia"/>
          <w:b/>
          <w:bCs/>
          <w:color w:val="66FF66"/>
          <w:sz w:val="24"/>
          <w:szCs w:val="24"/>
        </w:rPr>
        <w:t>Dopo l’unità d’Italia</w:t>
      </w:r>
    </w:p>
    <w:p w14:paraId="298543D0" w14:textId="61D9299A" w:rsidR="5C731F35" w:rsidRPr="00E02CB7" w:rsidRDefault="5C731F35" w:rsidP="005B3CF4">
      <w:pPr>
        <w:spacing w:before="240" w:after="240" w:line="276" w:lineRule="auto"/>
        <w:rPr>
          <w:rFonts w:eastAsia="Calibri" w:cstheme="minorHAnsi"/>
          <w:color w:val="252631"/>
          <w:sz w:val="24"/>
          <w:szCs w:val="24"/>
        </w:rPr>
      </w:pPr>
      <w:r w:rsidRPr="00E02CB7">
        <w:rPr>
          <w:rFonts w:eastAsia="Calibri" w:cstheme="minorHAnsi"/>
          <w:color w:val="252631"/>
          <w:sz w:val="24"/>
          <w:szCs w:val="24"/>
        </w:rPr>
        <w:t xml:space="preserve">L’unificazione politica della penisola comportò un sensibile impegno finanziario per il nuovo </w:t>
      </w:r>
      <w:r w:rsidR="00DB4E68">
        <w:rPr>
          <w:rFonts w:eastAsia="Calibri" w:cstheme="minorHAnsi"/>
          <w:color w:val="252631"/>
          <w:sz w:val="24"/>
          <w:szCs w:val="24"/>
        </w:rPr>
        <w:t>G</w:t>
      </w:r>
      <w:r w:rsidRPr="00E02CB7">
        <w:rPr>
          <w:rFonts w:eastAsia="Calibri" w:cstheme="minorHAnsi"/>
          <w:color w:val="252631"/>
          <w:sz w:val="24"/>
          <w:szCs w:val="24"/>
        </w:rPr>
        <w:t xml:space="preserve">overno che vi fece fronte con una </w:t>
      </w:r>
      <w:r w:rsidRPr="00311413">
        <w:rPr>
          <w:rFonts w:eastAsia="Calibri" w:cstheme="minorHAnsi"/>
          <w:b/>
          <w:bCs/>
          <w:color w:val="252631"/>
          <w:sz w:val="24"/>
          <w:szCs w:val="24"/>
        </w:rPr>
        <w:t>forte emissione di titoli di debito pubblico</w:t>
      </w:r>
      <w:r w:rsidRPr="00E02CB7">
        <w:rPr>
          <w:rFonts w:eastAsia="Calibri" w:cstheme="minorHAnsi"/>
          <w:color w:val="252631"/>
          <w:sz w:val="24"/>
          <w:szCs w:val="24"/>
        </w:rPr>
        <w:t xml:space="preserve">. </w:t>
      </w:r>
      <w:r w:rsidRPr="00E02CB7">
        <w:rPr>
          <w:rFonts w:cstheme="minorHAnsi"/>
        </w:rPr>
        <w:br/>
      </w:r>
      <w:r w:rsidRPr="00E02CB7">
        <w:rPr>
          <w:rFonts w:eastAsia="Calibri" w:cstheme="minorHAnsi"/>
          <w:color w:val="252631"/>
          <w:sz w:val="24"/>
          <w:szCs w:val="24"/>
        </w:rPr>
        <w:t xml:space="preserve">Negli </w:t>
      </w:r>
      <w:r w:rsidRPr="00E30FEB">
        <w:rPr>
          <w:rFonts w:eastAsia="Calibri" w:cstheme="minorHAnsi"/>
          <w:b/>
          <w:bCs/>
          <w:color w:val="252631"/>
          <w:sz w:val="24"/>
          <w:szCs w:val="24"/>
        </w:rPr>
        <w:t>anni ‘70</w:t>
      </w:r>
      <w:r w:rsidRPr="00E02CB7">
        <w:rPr>
          <w:rFonts w:eastAsia="Calibri" w:cstheme="minorHAnsi"/>
          <w:color w:val="252631"/>
          <w:sz w:val="24"/>
          <w:szCs w:val="24"/>
        </w:rPr>
        <w:t xml:space="preserve"> dell'Ottocento, accanto a questi titoli comparvero quelli delle prime compagnie ferroviarie e di numerosi istituti di </w:t>
      </w:r>
      <w:r w:rsidR="453E47E3" w:rsidRPr="00E02CB7">
        <w:rPr>
          <w:rFonts w:eastAsia="Calibri" w:cstheme="minorHAnsi"/>
          <w:color w:val="252631"/>
          <w:sz w:val="24"/>
          <w:szCs w:val="24"/>
        </w:rPr>
        <w:t>credito; invece,</w:t>
      </w:r>
      <w:r w:rsidRPr="00E02CB7">
        <w:rPr>
          <w:rFonts w:eastAsia="Calibri" w:cstheme="minorHAnsi"/>
          <w:color w:val="252631"/>
          <w:sz w:val="24"/>
          <w:szCs w:val="24"/>
        </w:rPr>
        <w:t xml:space="preserve"> le società manifatturiere rimasero fuori dal listino per un lungo periodo in virtù delle loro ridotte dimensioni. Fu solo al volgere del secolo che la rapida crescita industriale del paese portò anche questo settore a cercare in </w:t>
      </w:r>
      <w:r w:rsidR="00B44E7B">
        <w:rPr>
          <w:rFonts w:eastAsia="Calibri" w:cstheme="minorHAnsi"/>
          <w:color w:val="252631"/>
          <w:sz w:val="24"/>
          <w:szCs w:val="24"/>
        </w:rPr>
        <w:t>B</w:t>
      </w:r>
      <w:r w:rsidRPr="00E02CB7">
        <w:rPr>
          <w:rFonts w:eastAsia="Calibri" w:cstheme="minorHAnsi"/>
          <w:color w:val="252631"/>
          <w:sz w:val="24"/>
          <w:szCs w:val="24"/>
        </w:rPr>
        <w:t xml:space="preserve">orsa i finanziamenti necessari: il numero di azioni quotate a Milano passò da 23 a 54 tra il 1895 e il 1900, per raggiungere le 160 nel 1913. </w:t>
      </w:r>
    </w:p>
    <w:p w14:paraId="733F7EF4" w14:textId="2C91C9F4" w:rsidR="5C731F35" w:rsidRDefault="5C731F35" w:rsidP="00C011CA">
      <w:pPr>
        <w:pStyle w:val="Paragrafoelenco"/>
        <w:numPr>
          <w:ilvl w:val="0"/>
          <w:numId w:val="35"/>
        </w:numPr>
        <w:spacing w:before="240" w:after="0" w:line="276" w:lineRule="auto"/>
        <w:ind w:left="357" w:hanging="357"/>
      </w:pPr>
      <w:r w:rsidRPr="00D2714F">
        <w:rPr>
          <w:rFonts w:eastAsiaTheme="minorEastAsia"/>
          <w:b/>
          <w:bCs/>
          <w:color w:val="66FF66"/>
          <w:sz w:val="24"/>
          <w:szCs w:val="24"/>
        </w:rPr>
        <w:lastRenderedPageBreak/>
        <w:t>Mercato mobiliare</w:t>
      </w:r>
    </w:p>
    <w:p w14:paraId="4AB64279" w14:textId="1EB0E3EF" w:rsidR="5C731F35" w:rsidRPr="00E02CB7" w:rsidRDefault="5C731F35" w:rsidP="005B3CF4">
      <w:pPr>
        <w:spacing w:before="240" w:after="240" w:line="276" w:lineRule="auto"/>
        <w:rPr>
          <w:rFonts w:cstheme="minorHAnsi"/>
        </w:rPr>
      </w:pPr>
      <w:r w:rsidRPr="00E02CB7">
        <w:rPr>
          <w:rFonts w:eastAsia="Calibri" w:cstheme="minorHAnsi"/>
          <w:color w:val="000000" w:themeColor="text1"/>
          <w:sz w:val="24"/>
          <w:szCs w:val="24"/>
        </w:rPr>
        <w:t xml:space="preserve">All’inizio le Borse ospitavano lo scambio sia di </w:t>
      </w:r>
      <w:r w:rsidRPr="00F56988">
        <w:rPr>
          <w:rFonts w:eastAsia="Calibri" w:cstheme="minorHAnsi"/>
          <w:b/>
          <w:bCs/>
          <w:color w:val="000000" w:themeColor="text1"/>
          <w:sz w:val="24"/>
          <w:szCs w:val="24"/>
        </w:rPr>
        <w:t xml:space="preserve">merci </w:t>
      </w:r>
      <w:r w:rsidRPr="00E02CB7">
        <w:rPr>
          <w:rFonts w:eastAsia="Calibri" w:cstheme="minorHAnsi"/>
          <w:color w:val="000000" w:themeColor="text1"/>
          <w:sz w:val="24"/>
          <w:szCs w:val="24"/>
        </w:rPr>
        <w:t xml:space="preserve">sia di </w:t>
      </w:r>
      <w:r w:rsidRPr="00F56988">
        <w:rPr>
          <w:rFonts w:eastAsia="Calibri" w:cstheme="minorHAnsi"/>
          <w:b/>
          <w:bCs/>
          <w:color w:val="000000" w:themeColor="text1"/>
          <w:sz w:val="24"/>
          <w:szCs w:val="24"/>
        </w:rPr>
        <w:t>valute</w:t>
      </w:r>
      <w:r w:rsidRPr="00E02CB7">
        <w:rPr>
          <w:rFonts w:eastAsia="Calibri" w:cstheme="minorHAnsi"/>
          <w:color w:val="000000" w:themeColor="text1"/>
          <w:sz w:val="24"/>
          <w:szCs w:val="24"/>
        </w:rPr>
        <w:t xml:space="preserve"> e </w:t>
      </w:r>
      <w:r w:rsidRPr="00F56988">
        <w:rPr>
          <w:rFonts w:eastAsia="Calibri" w:cstheme="minorHAnsi"/>
          <w:b/>
          <w:bCs/>
          <w:color w:val="000000" w:themeColor="text1"/>
          <w:sz w:val="24"/>
          <w:szCs w:val="24"/>
        </w:rPr>
        <w:t>titoli</w:t>
      </w:r>
      <w:r w:rsidRPr="00E02CB7">
        <w:rPr>
          <w:rFonts w:eastAsia="Calibri" w:cstheme="minorHAnsi"/>
          <w:color w:val="000000" w:themeColor="text1"/>
          <w:sz w:val="24"/>
          <w:szCs w:val="24"/>
        </w:rPr>
        <w:t xml:space="preserve">, successivamente, nel 1913, </w:t>
      </w:r>
      <w:r w:rsidR="009A7F78">
        <w:rPr>
          <w:rFonts w:eastAsia="Calibri" w:cstheme="minorHAnsi"/>
          <w:color w:val="000000" w:themeColor="text1"/>
          <w:sz w:val="24"/>
          <w:szCs w:val="24"/>
        </w:rPr>
        <w:t xml:space="preserve">avvenne </w:t>
      </w:r>
      <w:r w:rsidRPr="00E02CB7">
        <w:rPr>
          <w:rFonts w:eastAsia="Calibri" w:cstheme="minorHAnsi"/>
          <w:color w:val="000000" w:themeColor="text1"/>
          <w:sz w:val="24"/>
          <w:szCs w:val="24"/>
        </w:rPr>
        <w:t xml:space="preserve">la </w:t>
      </w:r>
      <w:r w:rsidRPr="001502A0">
        <w:rPr>
          <w:rFonts w:eastAsia="Calibri" w:cstheme="minorHAnsi"/>
          <w:b/>
          <w:bCs/>
          <w:color w:val="000000" w:themeColor="text1"/>
          <w:sz w:val="24"/>
          <w:szCs w:val="24"/>
        </w:rPr>
        <w:t>separazione</w:t>
      </w:r>
      <w:r w:rsidRPr="00E02CB7">
        <w:rPr>
          <w:rFonts w:eastAsia="Calibri" w:cstheme="minorHAnsi"/>
          <w:color w:val="000000" w:themeColor="text1"/>
          <w:sz w:val="24"/>
          <w:szCs w:val="24"/>
        </w:rPr>
        <w:t xml:space="preserve"> tra il mercato delle merci e quello dei titoli, e da quel momento, fu possibile parlare di Borsa </w:t>
      </w:r>
      <w:r w:rsidR="0079295D">
        <w:rPr>
          <w:rFonts w:eastAsia="Calibri" w:cstheme="minorHAnsi"/>
          <w:color w:val="000000" w:themeColor="text1"/>
          <w:sz w:val="24"/>
          <w:szCs w:val="24"/>
        </w:rPr>
        <w:t>v</w:t>
      </w:r>
      <w:r w:rsidRPr="00E02CB7">
        <w:rPr>
          <w:rFonts w:eastAsia="Calibri" w:cstheme="minorHAnsi"/>
          <w:color w:val="000000" w:themeColor="text1"/>
          <w:sz w:val="24"/>
          <w:szCs w:val="24"/>
        </w:rPr>
        <w:t>alori in termini appropriati, cioè di un mercato nel quale si scambiavano esclusivamente valori mobiliari.</w:t>
      </w:r>
    </w:p>
    <w:p w14:paraId="6E45E3EF" w14:textId="05E3EC6F" w:rsidR="5C731F35" w:rsidRPr="00D2714F" w:rsidRDefault="5C731F35" w:rsidP="00C011CA">
      <w:pPr>
        <w:pStyle w:val="Paragrafoelenco"/>
        <w:numPr>
          <w:ilvl w:val="0"/>
          <w:numId w:val="35"/>
        </w:numPr>
        <w:spacing w:before="240" w:after="0" w:line="276" w:lineRule="auto"/>
        <w:ind w:left="357" w:hanging="357"/>
        <w:rPr>
          <w:rFonts w:eastAsiaTheme="minorEastAsia"/>
          <w:b/>
          <w:bCs/>
          <w:color w:val="66FF66"/>
          <w:sz w:val="24"/>
          <w:szCs w:val="24"/>
        </w:rPr>
      </w:pPr>
      <w:r w:rsidRPr="00D2714F">
        <w:rPr>
          <w:rFonts w:eastAsiaTheme="minorEastAsia"/>
          <w:b/>
          <w:bCs/>
          <w:color w:val="66FF66"/>
          <w:sz w:val="24"/>
          <w:szCs w:val="24"/>
        </w:rPr>
        <w:t>La legge del 1913</w:t>
      </w:r>
    </w:p>
    <w:p w14:paraId="16CE1D04" w14:textId="658C4468" w:rsidR="5C731F35" w:rsidRPr="00E02CB7" w:rsidRDefault="5C731F35" w:rsidP="005B3CF4">
      <w:pPr>
        <w:spacing w:before="240" w:after="240" w:line="276" w:lineRule="auto"/>
        <w:rPr>
          <w:rFonts w:eastAsia="Calibri" w:cstheme="minorHAnsi"/>
          <w:color w:val="252631"/>
          <w:sz w:val="24"/>
          <w:szCs w:val="24"/>
        </w:rPr>
      </w:pPr>
      <w:r w:rsidRPr="00E02CB7">
        <w:rPr>
          <w:rFonts w:eastAsia="Segoe UI" w:cstheme="minorHAnsi"/>
          <w:b/>
          <w:bCs/>
          <w:color w:val="252631"/>
          <w:sz w:val="24"/>
          <w:szCs w:val="24"/>
        </w:rPr>
        <w:t>La legge approvata nel 1913</w:t>
      </w:r>
      <w:r w:rsidR="0040727E">
        <w:rPr>
          <w:rFonts w:eastAsia="Segoe UI" w:cstheme="minorHAnsi"/>
          <w:color w:val="252631"/>
          <w:sz w:val="24"/>
          <w:szCs w:val="24"/>
        </w:rPr>
        <w:t xml:space="preserve">, </w:t>
      </w:r>
      <w:r w:rsidRPr="00E02CB7">
        <w:rPr>
          <w:rFonts w:eastAsia="Segoe UI" w:cstheme="minorHAnsi"/>
          <w:color w:val="252631"/>
          <w:sz w:val="24"/>
          <w:szCs w:val="24"/>
        </w:rPr>
        <w:t>dopo decenni di discussioni</w:t>
      </w:r>
      <w:r w:rsidR="0040727E">
        <w:rPr>
          <w:rFonts w:eastAsia="Segoe UI" w:cstheme="minorHAnsi"/>
          <w:color w:val="252631"/>
          <w:sz w:val="24"/>
          <w:szCs w:val="24"/>
        </w:rPr>
        <w:t>,</w:t>
      </w:r>
      <w:r w:rsidRPr="00E02CB7">
        <w:rPr>
          <w:rFonts w:eastAsia="Segoe UI" w:cstheme="minorHAnsi"/>
          <w:color w:val="252631"/>
          <w:sz w:val="24"/>
          <w:szCs w:val="24"/>
        </w:rPr>
        <w:t xml:space="preserve"> diede al sistema delle contrattazioni la forma che ha conservato, con poche modifiche, fino alla chiusura della </w:t>
      </w:r>
      <w:r w:rsidR="0014670D">
        <w:rPr>
          <w:rFonts w:eastAsia="Segoe UI" w:cstheme="minorHAnsi"/>
          <w:color w:val="252631"/>
          <w:sz w:val="24"/>
          <w:szCs w:val="24"/>
        </w:rPr>
        <w:t>B</w:t>
      </w:r>
      <w:r w:rsidRPr="00E02CB7">
        <w:rPr>
          <w:rFonts w:eastAsia="Segoe UI" w:cstheme="minorHAnsi"/>
          <w:color w:val="252631"/>
          <w:sz w:val="24"/>
          <w:szCs w:val="24"/>
        </w:rPr>
        <w:t>orsa gridata</w:t>
      </w:r>
      <w:r w:rsidR="00261A8D">
        <w:rPr>
          <w:rFonts w:eastAsia="Segoe UI" w:cstheme="minorHAnsi"/>
          <w:color w:val="252631"/>
          <w:sz w:val="24"/>
          <w:szCs w:val="24"/>
        </w:rPr>
        <w:t xml:space="preserve"> (anni ’90)</w:t>
      </w:r>
      <w:r w:rsidRPr="00E02CB7">
        <w:rPr>
          <w:rFonts w:eastAsia="Segoe UI" w:cstheme="minorHAnsi"/>
          <w:color w:val="252631"/>
          <w:sz w:val="24"/>
          <w:szCs w:val="24"/>
        </w:rPr>
        <w:t xml:space="preserve">, inoltre </w:t>
      </w:r>
      <w:r w:rsidRPr="00E02CB7">
        <w:rPr>
          <w:rFonts w:eastAsia="Calibri" w:cstheme="minorHAnsi"/>
          <w:color w:val="252631"/>
          <w:sz w:val="24"/>
          <w:szCs w:val="24"/>
        </w:rPr>
        <w:t xml:space="preserve">sancì con precisione le competenze di vigilanza, di controllo e di gestione, suddividendole tra Ministero, Camere di commercio, Sindacati dei mediatori e Deputazioni di </w:t>
      </w:r>
      <w:r w:rsidR="002433E7">
        <w:rPr>
          <w:rFonts w:eastAsia="Calibri" w:cstheme="minorHAnsi"/>
          <w:color w:val="252631"/>
          <w:sz w:val="24"/>
          <w:szCs w:val="24"/>
        </w:rPr>
        <w:t>B</w:t>
      </w:r>
      <w:r w:rsidRPr="00E02CB7">
        <w:rPr>
          <w:rFonts w:eastAsia="Calibri" w:cstheme="minorHAnsi"/>
          <w:color w:val="252631"/>
          <w:sz w:val="24"/>
          <w:szCs w:val="24"/>
        </w:rPr>
        <w:t xml:space="preserve">orsa. Invece per quanto riguarda la figura degli </w:t>
      </w:r>
      <w:r w:rsidRPr="00E02CB7">
        <w:rPr>
          <w:rFonts w:eastAsia="Calibri" w:cstheme="minorHAnsi"/>
          <w:b/>
          <w:bCs/>
          <w:color w:val="252631"/>
          <w:sz w:val="24"/>
          <w:szCs w:val="24"/>
        </w:rPr>
        <w:t>agenti di cambio</w:t>
      </w:r>
      <w:r w:rsidRPr="005B6DBF">
        <w:rPr>
          <w:rFonts w:eastAsia="Calibri" w:cstheme="minorHAnsi"/>
          <w:color w:val="252631"/>
          <w:sz w:val="24"/>
          <w:szCs w:val="24"/>
        </w:rPr>
        <w:t>, si stabilì che potessero agire solo per conto della clientela e non in propri</w:t>
      </w:r>
      <w:r w:rsidR="005B6DBF">
        <w:rPr>
          <w:rFonts w:eastAsia="Calibri" w:cstheme="minorHAnsi"/>
          <w:color w:val="252631"/>
          <w:sz w:val="24"/>
          <w:szCs w:val="24"/>
        </w:rPr>
        <w:t>o.</w:t>
      </w:r>
      <w:r w:rsidRPr="00E02CB7">
        <w:rPr>
          <w:rFonts w:eastAsia="Calibri" w:cstheme="minorHAnsi"/>
          <w:color w:val="252631"/>
          <w:sz w:val="24"/>
          <w:szCs w:val="24"/>
        </w:rPr>
        <w:t xml:space="preserve"> Nel 1925 gli agenti di cambio </w:t>
      </w:r>
      <w:r w:rsidRPr="00E02CB7">
        <w:rPr>
          <w:rFonts w:eastAsia="Calibri" w:cstheme="minorHAnsi"/>
          <w:b/>
          <w:bCs/>
          <w:color w:val="252631"/>
          <w:sz w:val="24"/>
          <w:szCs w:val="24"/>
        </w:rPr>
        <w:t>ricevettero la qualifica di pubblici ufficiali</w:t>
      </w:r>
      <w:r w:rsidRPr="00E02CB7">
        <w:rPr>
          <w:rFonts w:eastAsia="Calibri" w:cstheme="minorHAnsi"/>
          <w:color w:val="252631"/>
          <w:sz w:val="24"/>
          <w:szCs w:val="24"/>
        </w:rPr>
        <w:t xml:space="preserve"> e nel 1932 il loro Sindacato mutò denominazione in </w:t>
      </w:r>
      <w:r w:rsidRPr="005A4E09">
        <w:rPr>
          <w:rFonts w:eastAsia="Calibri" w:cstheme="minorHAnsi"/>
          <w:b/>
          <w:bCs/>
          <w:i/>
          <w:iCs/>
          <w:color w:val="252631"/>
          <w:sz w:val="24"/>
          <w:szCs w:val="24"/>
        </w:rPr>
        <w:t>Comitato direttivo degli agenti di cambio della Borsa valori</w:t>
      </w:r>
      <w:r w:rsidRPr="00E02CB7">
        <w:rPr>
          <w:rFonts w:eastAsia="Calibri" w:cstheme="minorHAnsi"/>
          <w:color w:val="252631"/>
          <w:sz w:val="24"/>
          <w:szCs w:val="24"/>
        </w:rPr>
        <w:t xml:space="preserve">. </w:t>
      </w:r>
    </w:p>
    <w:p w14:paraId="0249423C" w14:textId="5F2073C8" w:rsidR="5C731F35" w:rsidRPr="00D2714F" w:rsidRDefault="5C731F35" w:rsidP="00C011CA">
      <w:pPr>
        <w:pStyle w:val="Paragrafoelenco"/>
        <w:numPr>
          <w:ilvl w:val="0"/>
          <w:numId w:val="35"/>
        </w:numPr>
        <w:spacing w:before="240" w:after="0" w:line="276" w:lineRule="auto"/>
        <w:ind w:left="357" w:hanging="357"/>
        <w:rPr>
          <w:rFonts w:eastAsiaTheme="minorEastAsia"/>
          <w:b/>
          <w:bCs/>
          <w:color w:val="66FF66"/>
          <w:sz w:val="24"/>
          <w:szCs w:val="24"/>
        </w:rPr>
      </w:pPr>
      <w:r w:rsidRPr="00D2714F">
        <w:rPr>
          <w:rFonts w:eastAsiaTheme="minorEastAsia"/>
          <w:b/>
          <w:bCs/>
          <w:color w:val="66FF66"/>
          <w:sz w:val="24"/>
          <w:szCs w:val="24"/>
        </w:rPr>
        <w:t>Nel dopoguerra</w:t>
      </w:r>
    </w:p>
    <w:p w14:paraId="0F19591F" w14:textId="538E8FDF" w:rsidR="5C731F35" w:rsidRPr="00E02CB7" w:rsidRDefault="5C731F35" w:rsidP="005B3CF4">
      <w:pPr>
        <w:spacing w:before="240" w:after="240" w:line="276" w:lineRule="auto"/>
        <w:rPr>
          <w:rFonts w:cstheme="minorHAnsi"/>
        </w:rPr>
      </w:pPr>
      <w:r w:rsidRPr="00E02CB7">
        <w:rPr>
          <w:rFonts w:eastAsia="Calibri" w:cstheme="minorHAnsi"/>
          <w:color w:val="252631"/>
          <w:sz w:val="24"/>
          <w:szCs w:val="24"/>
        </w:rPr>
        <w:t xml:space="preserve">Nel volgere di pochi anni l’attività riprese a pieno ritmo e per tutti gli anni ‘50 si ebbe una lunga </w:t>
      </w:r>
      <w:r w:rsidRPr="00D47A33">
        <w:rPr>
          <w:rFonts w:eastAsia="Calibri" w:cstheme="minorHAnsi"/>
          <w:b/>
          <w:bCs/>
          <w:color w:val="252631"/>
          <w:sz w:val="24"/>
          <w:szCs w:val="24"/>
        </w:rPr>
        <w:t xml:space="preserve">fase espansiva </w:t>
      </w:r>
      <w:r w:rsidRPr="00E02CB7">
        <w:rPr>
          <w:rFonts w:eastAsia="Calibri" w:cstheme="minorHAnsi"/>
          <w:color w:val="252631"/>
          <w:sz w:val="24"/>
          <w:szCs w:val="24"/>
        </w:rPr>
        <w:t xml:space="preserve">in cui la forte crescita dei corsi azionari accompagnava il generale boom dell’economia italiana. </w:t>
      </w:r>
      <w:r w:rsidRPr="00E02CB7">
        <w:rPr>
          <w:rFonts w:cstheme="minorHAnsi"/>
        </w:rPr>
        <w:br/>
      </w:r>
      <w:r w:rsidRPr="00E02CB7">
        <w:rPr>
          <w:rFonts w:eastAsia="Calibri" w:cstheme="minorHAnsi"/>
          <w:color w:val="252631"/>
          <w:sz w:val="24"/>
          <w:szCs w:val="24"/>
        </w:rPr>
        <w:t>Il numero delle società quotate rimase sostanzialmente invariato e tra queste crebbero i settori</w:t>
      </w:r>
      <w:r w:rsidR="002F7FA8">
        <w:rPr>
          <w:rFonts w:eastAsia="Calibri" w:cstheme="minorHAnsi"/>
          <w:color w:val="252631"/>
          <w:sz w:val="24"/>
          <w:szCs w:val="24"/>
        </w:rPr>
        <w:t xml:space="preserve"> </w:t>
      </w:r>
      <w:r w:rsidRPr="00E02CB7">
        <w:rPr>
          <w:rFonts w:eastAsia="Calibri" w:cstheme="minorHAnsi"/>
          <w:color w:val="252631"/>
          <w:sz w:val="24"/>
          <w:szCs w:val="24"/>
        </w:rPr>
        <w:t xml:space="preserve">assicurativo, finanziario ed elettrico. In questa fase </w:t>
      </w:r>
      <w:r w:rsidRPr="006D0852">
        <w:rPr>
          <w:rFonts w:eastAsia="Calibri" w:cstheme="minorHAnsi"/>
          <w:b/>
          <w:bCs/>
          <w:color w:val="252631"/>
          <w:sz w:val="24"/>
          <w:szCs w:val="24"/>
        </w:rPr>
        <w:t>iniziarono ad essere quotate le holding</w:t>
      </w:r>
      <w:r w:rsidRPr="00E02CB7">
        <w:rPr>
          <w:rFonts w:eastAsia="Calibri" w:cstheme="minorHAnsi"/>
          <w:color w:val="252631"/>
          <w:sz w:val="24"/>
          <w:szCs w:val="24"/>
        </w:rPr>
        <w:t xml:space="preserve"> </w:t>
      </w:r>
      <w:r w:rsidR="00455DDF">
        <w:rPr>
          <w:rFonts w:eastAsia="Calibri" w:cstheme="minorHAnsi"/>
          <w:color w:val="252631"/>
          <w:sz w:val="24"/>
          <w:szCs w:val="24"/>
        </w:rPr>
        <w:t>e le</w:t>
      </w:r>
      <w:r w:rsidRPr="00E02CB7">
        <w:rPr>
          <w:rFonts w:eastAsia="Calibri" w:cstheme="minorHAnsi"/>
          <w:color w:val="252631"/>
          <w:sz w:val="24"/>
          <w:szCs w:val="24"/>
        </w:rPr>
        <w:t xml:space="preserve"> società operative controllate attraverso partecipazioni incrociate. </w:t>
      </w:r>
    </w:p>
    <w:p w14:paraId="07184707" w14:textId="1883CDDC" w:rsidR="5C731F35" w:rsidRPr="00D2714F" w:rsidRDefault="5C731F35" w:rsidP="00C011CA">
      <w:pPr>
        <w:pStyle w:val="Paragrafoelenco"/>
        <w:numPr>
          <w:ilvl w:val="0"/>
          <w:numId w:val="35"/>
        </w:numPr>
        <w:spacing w:before="240" w:after="0" w:line="276" w:lineRule="auto"/>
        <w:ind w:left="357" w:hanging="357"/>
        <w:rPr>
          <w:rFonts w:eastAsiaTheme="minorEastAsia"/>
          <w:b/>
          <w:bCs/>
          <w:color w:val="66FF66"/>
          <w:sz w:val="24"/>
          <w:szCs w:val="24"/>
        </w:rPr>
      </w:pPr>
      <w:r w:rsidRPr="00D2714F">
        <w:rPr>
          <w:rFonts w:eastAsiaTheme="minorEastAsia"/>
          <w:b/>
          <w:bCs/>
          <w:color w:val="66FF66"/>
          <w:sz w:val="24"/>
          <w:szCs w:val="24"/>
        </w:rPr>
        <w:t>Gli anni ’60</w:t>
      </w:r>
    </w:p>
    <w:p w14:paraId="6382DE1D" w14:textId="53D191AA" w:rsidR="5C731F35" w:rsidRPr="00DB0530" w:rsidRDefault="5C731F35" w:rsidP="005B3CF4">
      <w:pPr>
        <w:spacing w:before="240" w:after="240" w:line="276" w:lineRule="auto"/>
        <w:rPr>
          <w:rFonts w:eastAsia="Calibri" w:cstheme="minorHAnsi"/>
          <w:color w:val="252631"/>
          <w:sz w:val="24"/>
          <w:szCs w:val="24"/>
        </w:rPr>
      </w:pPr>
      <w:r w:rsidRPr="00117EE2">
        <w:rPr>
          <w:rFonts w:eastAsia="Calibri" w:cstheme="minorHAnsi"/>
          <w:b/>
          <w:bCs/>
          <w:color w:val="252631"/>
          <w:sz w:val="24"/>
          <w:szCs w:val="24"/>
        </w:rPr>
        <w:t>Con i primi anni ’60 il ciclo di espansione economica rallentò</w:t>
      </w:r>
      <w:r w:rsidRPr="00E02CB7">
        <w:rPr>
          <w:rFonts w:eastAsia="Calibri" w:cstheme="minorHAnsi"/>
          <w:color w:val="252631"/>
          <w:sz w:val="24"/>
          <w:szCs w:val="24"/>
        </w:rPr>
        <w:t>: la crescita dell’inflazione e l’andamento negativo della bilancia dei pagamenti portarono un’inversione di tendenza</w:t>
      </w:r>
      <w:r w:rsidR="00FF06BF">
        <w:rPr>
          <w:rFonts w:eastAsia="Calibri" w:cstheme="minorHAnsi"/>
          <w:color w:val="252631"/>
          <w:sz w:val="24"/>
          <w:szCs w:val="24"/>
        </w:rPr>
        <w:t>.</w:t>
      </w:r>
      <w:r w:rsidRPr="00E02CB7">
        <w:rPr>
          <w:rFonts w:cstheme="minorHAnsi"/>
        </w:rPr>
        <w:br/>
      </w:r>
      <w:r w:rsidRPr="00E02CB7">
        <w:rPr>
          <w:rFonts w:eastAsia="Calibri" w:cstheme="minorHAnsi"/>
          <w:color w:val="252631"/>
          <w:sz w:val="24"/>
          <w:szCs w:val="24"/>
        </w:rPr>
        <w:t xml:space="preserve">I beni rifugio come i titoli di stato e del reddito fisso acquisirono peso rispetto al mercato azionario. </w:t>
      </w:r>
      <w:r w:rsidR="00DB0530">
        <w:rPr>
          <w:rFonts w:eastAsia="Calibri" w:cstheme="minorHAnsi"/>
          <w:color w:val="252631"/>
          <w:sz w:val="24"/>
          <w:szCs w:val="24"/>
        </w:rPr>
        <w:t xml:space="preserve">  Infine, l</w:t>
      </w:r>
      <w:r w:rsidRPr="00E02CB7">
        <w:rPr>
          <w:rFonts w:eastAsia="Calibri" w:cstheme="minorHAnsi"/>
          <w:color w:val="252631"/>
          <w:sz w:val="24"/>
          <w:szCs w:val="24"/>
        </w:rPr>
        <w:t xml:space="preserve">a nazionalizzazione dell’industria elettrica portò alla </w:t>
      </w:r>
      <w:r w:rsidRPr="00117EE2">
        <w:rPr>
          <w:rFonts w:eastAsia="Calibri" w:cstheme="minorHAnsi"/>
          <w:b/>
          <w:bCs/>
          <w:color w:val="252631"/>
          <w:sz w:val="24"/>
          <w:szCs w:val="24"/>
        </w:rPr>
        <w:t>cancellazione</w:t>
      </w:r>
      <w:r w:rsidRPr="00E02CB7">
        <w:rPr>
          <w:rFonts w:eastAsia="Calibri" w:cstheme="minorHAnsi"/>
          <w:color w:val="252631"/>
          <w:sz w:val="24"/>
          <w:szCs w:val="24"/>
        </w:rPr>
        <w:t xml:space="preserve"> dal listino di alcuni tra i </w:t>
      </w:r>
      <w:r w:rsidRPr="00117EE2">
        <w:rPr>
          <w:rFonts w:eastAsia="Calibri" w:cstheme="minorHAnsi"/>
          <w:b/>
          <w:bCs/>
          <w:color w:val="252631"/>
          <w:sz w:val="24"/>
          <w:szCs w:val="24"/>
        </w:rPr>
        <w:t>titoli più scambiati</w:t>
      </w:r>
      <w:r w:rsidRPr="00E02CB7">
        <w:rPr>
          <w:rFonts w:eastAsia="Calibri" w:cstheme="minorHAnsi"/>
          <w:color w:val="252631"/>
          <w:sz w:val="24"/>
          <w:szCs w:val="24"/>
        </w:rPr>
        <w:t xml:space="preserve">. </w:t>
      </w:r>
    </w:p>
    <w:p w14:paraId="1A412A79" w14:textId="4F3BEC2C" w:rsidR="5C731F35" w:rsidRPr="00D2714F" w:rsidRDefault="5C731F35" w:rsidP="002B0C28">
      <w:pPr>
        <w:pStyle w:val="Paragrafoelenco"/>
        <w:numPr>
          <w:ilvl w:val="0"/>
          <w:numId w:val="35"/>
        </w:numPr>
        <w:spacing w:before="240" w:after="0" w:line="276" w:lineRule="auto"/>
        <w:ind w:left="357" w:hanging="357"/>
        <w:rPr>
          <w:rFonts w:eastAsiaTheme="minorEastAsia"/>
          <w:b/>
          <w:bCs/>
          <w:color w:val="66FF66"/>
          <w:sz w:val="24"/>
          <w:szCs w:val="24"/>
        </w:rPr>
      </w:pPr>
      <w:r w:rsidRPr="00D2714F">
        <w:rPr>
          <w:rFonts w:eastAsiaTheme="minorEastAsia"/>
          <w:b/>
          <w:bCs/>
          <w:color w:val="66FF66"/>
          <w:sz w:val="24"/>
          <w:szCs w:val="24"/>
        </w:rPr>
        <w:t>Gli anni ’70 e 80</w:t>
      </w:r>
    </w:p>
    <w:p w14:paraId="5A369EE1" w14:textId="77777777" w:rsidR="002B0C28" w:rsidRDefault="002B0C28" w:rsidP="00C34B83">
      <w:pPr>
        <w:spacing w:after="0" w:line="276" w:lineRule="auto"/>
        <w:rPr>
          <w:rFonts w:eastAsia="Calibri"/>
          <w:color w:val="252631"/>
          <w:sz w:val="24"/>
          <w:szCs w:val="24"/>
        </w:rPr>
      </w:pPr>
    </w:p>
    <w:p w14:paraId="220D2D4C" w14:textId="352B1B33" w:rsidR="5C731F35" w:rsidRPr="00E02CB7" w:rsidRDefault="5C731F35" w:rsidP="00C34B83">
      <w:pPr>
        <w:spacing w:after="0" w:line="276" w:lineRule="auto"/>
      </w:pPr>
      <w:r w:rsidRPr="2162D8E8">
        <w:rPr>
          <w:rFonts w:eastAsia="Calibri"/>
          <w:color w:val="252631"/>
          <w:sz w:val="24"/>
          <w:szCs w:val="24"/>
        </w:rPr>
        <w:t xml:space="preserve">Con l’inizio degli anni ’70 la </w:t>
      </w:r>
      <w:r w:rsidR="0014670D">
        <w:rPr>
          <w:rFonts w:eastAsia="Calibri"/>
          <w:color w:val="252631"/>
          <w:sz w:val="24"/>
          <w:szCs w:val="24"/>
        </w:rPr>
        <w:t>B</w:t>
      </w:r>
      <w:r w:rsidRPr="2162D8E8">
        <w:rPr>
          <w:rFonts w:eastAsia="Calibri"/>
          <w:color w:val="252631"/>
          <w:sz w:val="24"/>
          <w:szCs w:val="24"/>
        </w:rPr>
        <w:t>orsa perse quasi completamente la propria funzione di finanziamento della</w:t>
      </w:r>
      <w:r w:rsidRPr="2162D8E8">
        <w:rPr>
          <w:rFonts w:eastAsia="Calibri"/>
          <w:b/>
          <w:bCs/>
          <w:color w:val="252631"/>
          <w:sz w:val="24"/>
          <w:szCs w:val="24"/>
        </w:rPr>
        <w:t xml:space="preserve"> crescita industriale.</w:t>
      </w:r>
      <w:r w:rsidRPr="2162D8E8">
        <w:rPr>
          <w:rFonts w:eastAsia="Calibri"/>
          <w:color w:val="252631"/>
          <w:sz w:val="24"/>
          <w:szCs w:val="24"/>
        </w:rPr>
        <w:t xml:space="preserve"> </w:t>
      </w:r>
    </w:p>
    <w:p w14:paraId="245A9B2B" w14:textId="15AADD45" w:rsidR="5C731F35" w:rsidRPr="00E02CB7" w:rsidRDefault="5C731F35" w:rsidP="00C34B83">
      <w:pPr>
        <w:spacing w:after="0" w:line="276" w:lineRule="auto"/>
      </w:pPr>
      <w:r w:rsidRPr="2162D8E8">
        <w:rPr>
          <w:rFonts w:eastAsia="Calibri"/>
          <w:color w:val="252631"/>
          <w:sz w:val="24"/>
          <w:szCs w:val="24"/>
        </w:rPr>
        <w:t xml:space="preserve">Il </w:t>
      </w:r>
      <w:r w:rsidRPr="2162D8E8">
        <w:rPr>
          <w:rFonts w:eastAsia="Calibri"/>
          <w:b/>
          <w:bCs/>
          <w:color w:val="252631"/>
          <w:sz w:val="24"/>
          <w:szCs w:val="24"/>
        </w:rPr>
        <w:t>risparmio</w:t>
      </w:r>
      <w:r w:rsidRPr="2162D8E8">
        <w:rPr>
          <w:rFonts w:eastAsia="Calibri"/>
          <w:color w:val="252631"/>
          <w:sz w:val="24"/>
          <w:szCs w:val="24"/>
        </w:rPr>
        <w:t xml:space="preserve"> venne sempre più dirottato verso il fabbisogno pubblico, sostenuto da alti tassi di interesse e l’attività sui titoli azionari si ridusse a passaggi di pacchetti di controllo e a operazioni di </w:t>
      </w:r>
      <w:r w:rsidRPr="2162D8E8">
        <w:rPr>
          <w:rFonts w:eastAsia="Calibri"/>
          <w:color w:val="252631"/>
          <w:sz w:val="24"/>
          <w:szCs w:val="24"/>
        </w:rPr>
        <w:lastRenderedPageBreak/>
        <w:t xml:space="preserve">puro carattere speculativo. Questo portò lo </w:t>
      </w:r>
      <w:r w:rsidR="005300F3">
        <w:rPr>
          <w:rFonts w:eastAsia="Calibri"/>
          <w:color w:val="252631"/>
          <w:sz w:val="24"/>
          <w:szCs w:val="24"/>
        </w:rPr>
        <w:t>S</w:t>
      </w:r>
      <w:r w:rsidRPr="2162D8E8">
        <w:rPr>
          <w:rFonts w:eastAsia="Calibri"/>
          <w:color w:val="252631"/>
          <w:sz w:val="24"/>
          <w:szCs w:val="24"/>
        </w:rPr>
        <w:t xml:space="preserve">tato ad emettere la </w:t>
      </w:r>
      <w:r w:rsidRPr="2162D8E8">
        <w:rPr>
          <w:rFonts w:eastAsia="Calibri"/>
          <w:b/>
          <w:bCs/>
          <w:color w:val="252631"/>
          <w:sz w:val="24"/>
          <w:szCs w:val="24"/>
        </w:rPr>
        <w:t>legge n. 216</w:t>
      </w:r>
      <w:r w:rsidRPr="2162D8E8">
        <w:rPr>
          <w:rFonts w:eastAsia="Calibri"/>
          <w:color w:val="252631"/>
          <w:sz w:val="24"/>
          <w:szCs w:val="24"/>
        </w:rPr>
        <w:t xml:space="preserve"> che introdusse per le società quotate i primi obblighi di pubblicità dei bilanci e di informazione societaria e istituì un nuovo organo di controllo: la Commissione nazionale per le società e la </w:t>
      </w:r>
      <w:r w:rsidR="0014670D">
        <w:rPr>
          <w:rFonts w:eastAsia="Calibri"/>
          <w:color w:val="252631"/>
          <w:sz w:val="24"/>
          <w:szCs w:val="24"/>
        </w:rPr>
        <w:t>B</w:t>
      </w:r>
      <w:r w:rsidRPr="2162D8E8">
        <w:rPr>
          <w:rFonts w:eastAsia="Calibri"/>
          <w:color w:val="252631"/>
          <w:sz w:val="24"/>
          <w:szCs w:val="24"/>
        </w:rPr>
        <w:t>orsa (</w:t>
      </w:r>
      <w:r w:rsidRPr="2162D8E8">
        <w:rPr>
          <w:rFonts w:eastAsia="Calibri"/>
          <w:b/>
          <w:bCs/>
          <w:color w:val="252631"/>
          <w:sz w:val="24"/>
          <w:szCs w:val="24"/>
        </w:rPr>
        <w:t>C</w:t>
      </w:r>
      <w:r w:rsidR="797C71D7" w:rsidRPr="2162D8E8">
        <w:rPr>
          <w:rFonts w:eastAsia="Calibri"/>
          <w:b/>
          <w:bCs/>
          <w:color w:val="252631"/>
          <w:sz w:val="24"/>
          <w:szCs w:val="24"/>
        </w:rPr>
        <w:t>ONSOB</w:t>
      </w:r>
      <w:r w:rsidRPr="2162D8E8">
        <w:rPr>
          <w:rFonts w:eastAsia="Calibri"/>
          <w:color w:val="252631"/>
          <w:sz w:val="24"/>
          <w:szCs w:val="24"/>
        </w:rPr>
        <w:t xml:space="preserve">). </w:t>
      </w:r>
    </w:p>
    <w:p w14:paraId="1E48FE3A" w14:textId="7EA478E7" w:rsidR="5C731F35" w:rsidRPr="00E02CB7" w:rsidRDefault="5C731F35" w:rsidP="00AB08FD">
      <w:pPr>
        <w:spacing w:line="276" w:lineRule="auto"/>
        <w:jc w:val="both"/>
      </w:pPr>
      <w:r w:rsidRPr="2162D8E8">
        <w:rPr>
          <w:rFonts w:eastAsia="Calibri"/>
          <w:color w:val="252631"/>
          <w:sz w:val="24"/>
          <w:szCs w:val="24"/>
        </w:rPr>
        <w:t xml:space="preserve">Nel 1977 l’indice raggiunse i minimi storici, quindi per rivitalizzare gli scambi fu adottato allora il sistema del credito d’imposta che pose fine alla doppia tassazione dei redditi. Nel 1983 la </w:t>
      </w:r>
      <w:r w:rsidRPr="2162D8E8">
        <w:rPr>
          <w:rFonts w:eastAsia="Calibri"/>
          <w:b/>
          <w:bCs/>
          <w:color w:val="252631"/>
          <w:sz w:val="24"/>
          <w:szCs w:val="24"/>
        </w:rPr>
        <w:t>legge n. 169</w:t>
      </w:r>
      <w:r w:rsidRPr="2162D8E8">
        <w:rPr>
          <w:rFonts w:eastAsia="Calibri"/>
          <w:color w:val="252631"/>
          <w:sz w:val="24"/>
          <w:szCs w:val="24"/>
        </w:rPr>
        <w:t xml:space="preserve"> introdusse nuove agevolazioni fiscali volte a incentivare gli investimenti finanziari. Nel 1985 grazie alla </w:t>
      </w:r>
      <w:r w:rsidRPr="2162D8E8">
        <w:rPr>
          <w:rFonts w:eastAsia="Calibri"/>
          <w:b/>
          <w:bCs/>
          <w:color w:val="252631"/>
          <w:sz w:val="24"/>
          <w:szCs w:val="24"/>
        </w:rPr>
        <w:t>legge n. 281</w:t>
      </w:r>
      <w:r w:rsidR="00E47C67">
        <w:rPr>
          <w:rFonts w:eastAsia="Calibri"/>
          <w:color w:val="252631"/>
          <w:sz w:val="24"/>
          <w:szCs w:val="24"/>
        </w:rPr>
        <w:t xml:space="preserve"> si </w:t>
      </w:r>
      <w:r w:rsidRPr="2162D8E8">
        <w:rPr>
          <w:rFonts w:eastAsia="Calibri"/>
          <w:color w:val="252631"/>
          <w:sz w:val="24"/>
          <w:szCs w:val="24"/>
        </w:rPr>
        <w:t xml:space="preserve">rinforzò il ruolo della Consob nella regolamentazione del mercato azionario, attribuendo alla commissione la “personalità di diritto pubblico” e la piena autonomia dal </w:t>
      </w:r>
      <w:r w:rsidR="00D30F91">
        <w:rPr>
          <w:rFonts w:eastAsia="Calibri"/>
          <w:color w:val="252631"/>
          <w:sz w:val="24"/>
          <w:szCs w:val="24"/>
        </w:rPr>
        <w:t>G</w:t>
      </w:r>
      <w:r w:rsidRPr="2162D8E8">
        <w:rPr>
          <w:rFonts w:eastAsia="Calibri"/>
          <w:color w:val="252631"/>
          <w:sz w:val="24"/>
          <w:szCs w:val="24"/>
        </w:rPr>
        <w:t xml:space="preserve">overno come autorità indipendente. </w:t>
      </w:r>
    </w:p>
    <w:p w14:paraId="28C09296" w14:textId="3A4C844B" w:rsidR="5C731F35" w:rsidRPr="00AB08FD" w:rsidRDefault="00AB08FD" w:rsidP="00E43DD5">
      <w:pPr>
        <w:pStyle w:val="Paragrafoelenco"/>
        <w:numPr>
          <w:ilvl w:val="0"/>
          <w:numId w:val="44"/>
        </w:numPr>
        <w:spacing w:before="240" w:after="0" w:line="276" w:lineRule="auto"/>
        <w:ind w:left="357" w:hanging="357"/>
        <w:rPr>
          <w:rFonts w:eastAsiaTheme="minorEastAsia"/>
          <w:b/>
          <w:bCs/>
          <w:color w:val="66FF66"/>
          <w:sz w:val="24"/>
          <w:szCs w:val="24"/>
        </w:rPr>
      </w:pPr>
      <w:r w:rsidRPr="00D2714F">
        <w:rPr>
          <w:rFonts w:eastAsiaTheme="minorEastAsia"/>
          <w:b/>
          <w:bCs/>
          <w:color w:val="66FF66"/>
          <w:sz w:val="24"/>
          <w:szCs w:val="24"/>
        </w:rPr>
        <w:t>Gli anni ’90</w:t>
      </w:r>
    </w:p>
    <w:p w14:paraId="3E367E9B" w14:textId="5FE30185" w:rsidR="5C731F35" w:rsidRPr="00E02CB7" w:rsidRDefault="5C731F35" w:rsidP="00684DF1">
      <w:pPr>
        <w:spacing w:before="240" w:after="0" w:line="276" w:lineRule="auto"/>
      </w:pPr>
      <w:r w:rsidRPr="2162D8E8">
        <w:rPr>
          <w:rFonts w:eastAsia="Calibri"/>
          <w:color w:val="000000" w:themeColor="text1"/>
          <w:sz w:val="24"/>
          <w:szCs w:val="24"/>
        </w:rPr>
        <w:t xml:space="preserve">Altra tappa di transizione molto importante è rappresentata dall’anno 1991 con la </w:t>
      </w:r>
      <w:r w:rsidRPr="2162D8E8">
        <w:rPr>
          <w:rFonts w:eastAsia="Calibri"/>
          <w:b/>
          <w:bCs/>
          <w:color w:val="000000" w:themeColor="text1"/>
          <w:sz w:val="24"/>
          <w:szCs w:val="24"/>
        </w:rPr>
        <w:t>direttiva della Comunità Europea sull’intermediazione mobiliare e i servizi di investimento</w:t>
      </w:r>
      <w:r w:rsidRPr="2162D8E8">
        <w:rPr>
          <w:rFonts w:eastAsia="Calibri"/>
          <w:color w:val="000000" w:themeColor="text1"/>
          <w:sz w:val="24"/>
          <w:szCs w:val="24"/>
        </w:rPr>
        <w:t xml:space="preserve">, che ha avviato il processo di privatizzazione dei mercati finanziari. La Borsa </w:t>
      </w:r>
      <w:r w:rsidR="006657D7">
        <w:rPr>
          <w:rFonts w:eastAsia="Calibri"/>
          <w:color w:val="000000" w:themeColor="text1"/>
          <w:sz w:val="24"/>
          <w:szCs w:val="24"/>
        </w:rPr>
        <w:t>v</w:t>
      </w:r>
      <w:r w:rsidRPr="2162D8E8">
        <w:rPr>
          <w:rFonts w:eastAsia="Calibri"/>
          <w:color w:val="000000" w:themeColor="text1"/>
          <w:sz w:val="24"/>
          <w:szCs w:val="24"/>
        </w:rPr>
        <w:t xml:space="preserve">alori di Milano era, come le altre Borse, un mercato pubblico, disciplinato da leggi dello Stato e regolamenti degli organi di controllo. La legge del 2 gennaio </w:t>
      </w:r>
      <w:r w:rsidRPr="2162D8E8">
        <w:rPr>
          <w:rFonts w:eastAsia="Calibri"/>
          <w:b/>
          <w:bCs/>
          <w:color w:val="000000" w:themeColor="text1"/>
          <w:sz w:val="24"/>
          <w:szCs w:val="24"/>
        </w:rPr>
        <w:t>1991</w:t>
      </w:r>
      <w:r w:rsidRPr="2162D8E8">
        <w:rPr>
          <w:rFonts w:eastAsia="Calibri"/>
          <w:color w:val="000000" w:themeColor="text1"/>
          <w:sz w:val="24"/>
          <w:szCs w:val="24"/>
        </w:rPr>
        <w:t xml:space="preserve"> n. 1, istituì il </w:t>
      </w:r>
      <w:r w:rsidRPr="2162D8E8">
        <w:rPr>
          <w:rFonts w:eastAsia="Calibri"/>
          <w:b/>
          <w:bCs/>
          <w:color w:val="000000" w:themeColor="text1"/>
          <w:sz w:val="24"/>
          <w:szCs w:val="24"/>
        </w:rPr>
        <w:t>Consiglio di Borsa</w:t>
      </w:r>
      <w:r w:rsidRPr="2162D8E8">
        <w:rPr>
          <w:rFonts w:eastAsia="Calibri"/>
          <w:color w:val="000000" w:themeColor="text1"/>
          <w:sz w:val="24"/>
          <w:szCs w:val="24"/>
        </w:rPr>
        <w:t>, attivo dal febbraio 1993, al quale vennero affidate le competenze organizzative, tecniche e consultive dei precedenti organi locali, mentre l’attività di vigilanza, gestione e organizzazione dei mercati rimase alla Consob.</w:t>
      </w:r>
    </w:p>
    <w:p w14:paraId="3DF33CE3" w14:textId="7DD8CA07" w:rsidR="5C731F35" w:rsidRPr="00E02CB7" w:rsidRDefault="5C731F35" w:rsidP="00684DF1">
      <w:pPr>
        <w:spacing w:after="0" w:line="276" w:lineRule="auto"/>
      </w:pPr>
      <w:r w:rsidRPr="2162D8E8">
        <w:rPr>
          <w:rFonts w:eastAsia="Calibri"/>
          <w:color w:val="000000" w:themeColor="text1"/>
          <w:sz w:val="24"/>
          <w:szCs w:val="24"/>
        </w:rPr>
        <w:t>Il 1991 è importante anche in relazione alle modalità di negoziazione.</w:t>
      </w:r>
      <w:r w:rsidR="1C6313BE" w:rsidRPr="2162D8E8">
        <w:rPr>
          <w:rFonts w:eastAsia="Calibri"/>
          <w:color w:val="000000" w:themeColor="text1"/>
          <w:sz w:val="24"/>
          <w:szCs w:val="24"/>
        </w:rPr>
        <w:t xml:space="preserve"> </w:t>
      </w:r>
      <w:r w:rsidRPr="2162D8E8">
        <w:rPr>
          <w:rFonts w:eastAsia="Calibri"/>
          <w:color w:val="000000" w:themeColor="text1"/>
          <w:sz w:val="24"/>
          <w:szCs w:val="24"/>
        </w:rPr>
        <w:t xml:space="preserve">Sino ad allora, le contrattazioni avvenivano “alle grida” e si svolgevano in particolari recinti, chiamati corbeilles, nei quali gli agenti di cambio compravano e vendevano azioni, gridando e gesticolando le loro proposte di affari. In questi recinti, si svolgevano le operazioni relative all’accertamento dei prezzi ufficiali e alla redazione dei listini, e i prezzi venivano trasmessi a un funzionario, che si trovava al centro del recinto, il quale era incaricato di raccogliere le notifiche, e a fine giornata il comitato direttivo degli agenti di cambio definiva il listino ufficiale. Le contrattazioni erano divise in </w:t>
      </w:r>
      <w:r w:rsidRPr="00560816">
        <w:rPr>
          <w:rFonts w:eastAsia="Calibri"/>
          <w:b/>
          <w:bCs/>
          <w:color w:val="000000" w:themeColor="text1"/>
          <w:sz w:val="24"/>
          <w:szCs w:val="24"/>
        </w:rPr>
        <w:t>tre fasi</w:t>
      </w:r>
      <w:r w:rsidRPr="2162D8E8">
        <w:rPr>
          <w:rFonts w:eastAsia="Calibri"/>
          <w:color w:val="000000" w:themeColor="text1"/>
          <w:sz w:val="24"/>
          <w:szCs w:val="24"/>
        </w:rPr>
        <w:t>: l’</w:t>
      </w:r>
      <w:r w:rsidRPr="00560816">
        <w:rPr>
          <w:rFonts w:eastAsia="Calibri"/>
          <w:b/>
          <w:bCs/>
          <w:color w:val="000000" w:themeColor="text1"/>
          <w:sz w:val="24"/>
          <w:szCs w:val="24"/>
        </w:rPr>
        <w:t>apertura</w:t>
      </w:r>
      <w:r w:rsidRPr="2162D8E8">
        <w:rPr>
          <w:rFonts w:eastAsia="Calibri"/>
          <w:color w:val="000000" w:themeColor="text1"/>
          <w:sz w:val="24"/>
          <w:szCs w:val="24"/>
        </w:rPr>
        <w:t xml:space="preserve">, la </w:t>
      </w:r>
      <w:r w:rsidRPr="00560816">
        <w:rPr>
          <w:rFonts w:eastAsia="Calibri"/>
          <w:b/>
          <w:bCs/>
          <w:color w:val="000000" w:themeColor="text1"/>
          <w:sz w:val="24"/>
          <w:szCs w:val="24"/>
        </w:rPr>
        <w:t>fase del durante</w:t>
      </w:r>
      <w:r w:rsidRPr="2162D8E8">
        <w:rPr>
          <w:rFonts w:eastAsia="Calibri"/>
          <w:color w:val="000000" w:themeColor="text1"/>
          <w:sz w:val="24"/>
          <w:szCs w:val="24"/>
        </w:rPr>
        <w:t xml:space="preserve"> e la </w:t>
      </w:r>
      <w:r w:rsidRPr="00560816">
        <w:rPr>
          <w:rFonts w:eastAsia="Calibri"/>
          <w:b/>
          <w:bCs/>
          <w:color w:val="000000" w:themeColor="text1"/>
          <w:sz w:val="24"/>
          <w:szCs w:val="24"/>
        </w:rPr>
        <w:t>chiusura</w:t>
      </w:r>
      <w:r w:rsidRPr="2162D8E8">
        <w:rPr>
          <w:rFonts w:eastAsia="Calibri"/>
          <w:color w:val="000000" w:themeColor="text1"/>
          <w:sz w:val="24"/>
          <w:szCs w:val="24"/>
        </w:rPr>
        <w:t xml:space="preserve"> o fase di compilazione del listino.</w:t>
      </w:r>
    </w:p>
    <w:p w14:paraId="12553CFF" w14:textId="46A4F1EB" w:rsidR="5C731F35" w:rsidRPr="00E02CB7" w:rsidRDefault="5C731F35" w:rsidP="00684DF1">
      <w:pPr>
        <w:spacing w:after="0" w:line="276" w:lineRule="auto"/>
      </w:pPr>
      <w:r w:rsidRPr="2162D8E8">
        <w:rPr>
          <w:rFonts w:eastAsia="Calibri"/>
          <w:color w:val="000000" w:themeColor="text1"/>
          <w:sz w:val="24"/>
          <w:szCs w:val="24"/>
        </w:rPr>
        <w:t xml:space="preserve">Il passaggio verso il mercato telematico si concluse </w:t>
      </w:r>
      <w:r w:rsidRPr="2162D8E8">
        <w:rPr>
          <w:rFonts w:eastAsia="Calibri"/>
          <w:b/>
          <w:bCs/>
          <w:color w:val="000000" w:themeColor="text1"/>
          <w:sz w:val="24"/>
          <w:szCs w:val="24"/>
        </w:rPr>
        <w:t>nell’aprile del 1994</w:t>
      </w:r>
      <w:r w:rsidRPr="2162D8E8">
        <w:rPr>
          <w:rFonts w:eastAsia="Calibri"/>
          <w:color w:val="000000" w:themeColor="text1"/>
          <w:sz w:val="24"/>
          <w:szCs w:val="24"/>
        </w:rPr>
        <w:t>, con la migrazione completa delle nego</w:t>
      </w:r>
      <w:r w:rsidR="00813CDE">
        <w:rPr>
          <w:rFonts w:eastAsia="Calibri"/>
          <w:color w:val="000000" w:themeColor="text1"/>
          <w:sz w:val="24"/>
          <w:szCs w:val="24"/>
        </w:rPr>
        <w:t>z</w:t>
      </w:r>
      <w:r w:rsidRPr="2162D8E8">
        <w:rPr>
          <w:rFonts w:eastAsia="Calibri"/>
          <w:color w:val="000000" w:themeColor="text1"/>
          <w:sz w:val="24"/>
          <w:szCs w:val="24"/>
        </w:rPr>
        <w:t>iazioni a un sistema di reti informatiche interconnesse, e in questo modo ogni transazione venne effettuata attraverso un computer, e ogni intermediario immetteva gli ordini dalla propria sede.</w:t>
      </w:r>
    </w:p>
    <w:p w14:paraId="10E913B3" w14:textId="78F344C2" w:rsidR="5C731F35" w:rsidRPr="00E02CB7" w:rsidRDefault="5C731F35" w:rsidP="00684DF1">
      <w:pPr>
        <w:spacing w:after="240" w:line="276" w:lineRule="auto"/>
      </w:pPr>
      <w:r w:rsidRPr="2162D8E8">
        <w:rPr>
          <w:rFonts w:eastAsia="Calibri"/>
          <w:b/>
          <w:bCs/>
          <w:color w:val="000000" w:themeColor="text1"/>
          <w:sz w:val="24"/>
          <w:szCs w:val="24"/>
        </w:rPr>
        <w:t>Il Decreto legislativo 23 luglio 1996, n. 415</w:t>
      </w:r>
      <w:r w:rsidRPr="2162D8E8">
        <w:rPr>
          <w:rFonts w:eastAsia="Calibri"/>
          <w:color w:val="000000" w:themeColor="text1"/>
          <w:sz w:val="24"/>
          <w:szCs w:val="24"/>
        </w:rPr>
        <w:t xml:space="preserve"> sancì il passaggio di consegne dell’attività di organizzazione e gestione dei mercati regolamentati dall’autorità pubblica all’impresa privata, diversificato nel campo dei servizi finanziari, comprendendo da </w:t>
      </w:r>
      <w:r w:rsidRPr="2162D8E8">
        <w:rPr>
          <w:rFonts w:eastAsia="Calibri"/>
          <w:color w:val="000000" w:themeColor="text1"/>
          <w:sz w:val="24"/>
          <w:szCs w:val="24"/>
          <w:u w:val="single"/>
        </w:rPr>
        <w:t>Cassa di Compensazione &amp; Garanzia (2000), Monte Titoli (2002), Servizio Titoli (2007) ed MTS</w:t>
      </w:r>
      <w:r w:rsidRPr="00813CDE">
        <w:rPr>
          <w:rFonts w:eastAsia="Calibri"/>
          <w:color w:val="000000" w:themeColor="text1"/>
          <w:sz w:val="24"/>
          <w:szCs w:val="24"/>
        </w:rPr>
        <w:t xml:space="preserve"> </w:t>
      </w:r>
      <w:r w:rsidRPr="00CC738A">
        <w:rPr>
          <w:rFonts w:eastAsia="Calibri"/>
          <w:b/>
          <w:bCs/>
          <w:color w:val="000000" w:themeColor="text1"/>
          <w:sz w:val="24"/>
          <w:szCs w:val="24"/>
        </w:rPr>
        <w:t>e un anno dopo il Consiglio di Borsa costituì la società Borsa Italiana S.p.A. con sede a Milano</w:t>
      </w:r>
      <w:r w:rsidRPr="2162D8E8">
        <w:rPr>
          <w:rFonts w:eastAsia="Calibri"/>
          <w:color w:val="000000" w:themeColor="text1"/>
          <w:sz w:val="24"/>
          <w:szCs w:val="24"/>
        </w:rPr>
        <w:t>. In contemporanea furono chiuse le preesistenti dieci Borse Valori (Milano, Roma, Trieste, Venezia, Napoli, Torino, Genova, Firenze, Bologna e Palermo) e gli scambi concentrati presso la sede di Milano.</w:t>
      </w:r>
    </w:p>
    <w:p w14:paraId="2E3DAC17" w14:textId="53C15AB6" w:rsidR="5C731F35" w:rsidRPr="00D2714F" w:rsidRDefault="5C731F35" w:rsidP="003F07D9">
      <w:pPr>
        <w:pStyle w:val="Paragrafoelenco"/>
        <w:numPr>
          <w:ilvl w:val="0"/>
          <w:numId w:val="35"/>
        </w:numPr>
        <w:spacing w:before="240" w:after="0" w:line="276" w:lineRule="auto"/>
        <w:ind w:left="357" w:hanging="357"/>
        <w:rPr>
          <w:rFonts w:eastAsiaTheme="minorEastAsia"/>
          <w:b/>
          <w:bCs/>
          <w:color w:val="66FF66"/>
          <w:sz w:val="24"/>
          <w:szCs w:val="24"/>
        </w:rPr>
      </w:pPr>
      <w:r w:rsidRPr="00D2714F">
        <w:rPr>
          <w:rFonts w:eastAsiaTheme="minorEastAsia"/>
          <w:b/>
          <w:bCs/>
          <w:color w:val="66FF66"/>
          <w:sz w:val="24"/>
          <w:szCs w:val="24"/>
        </w:rPr>
        <w:lastRenderedPageBreak/>
        <w:t>Dagli anni 2000</w:t>
      </w:r>
    </w:p>
    <w:p w14:paraId="15CB58E8" w14:textId="0906C92D" w:rsidR="5C731F35" w:rsidRPr="0077261F" w:rsidRDefault="003E695A" w:rsidP="008F51A8">
      <w:pPr>
        <w:spacing w:before="240" w:after="0" w:line="276" w:lineRule="auto"/>
        <w:rPr>
          <w:rFonts w:eastAsia="Calibri"/>
          <w:b/>
          <w:bCs/>
          <w:color w:val="252631"/>
          <w:sz w:val="24"/>
          <w:szCs w:val="24"/>
        </w:rPr>
      </w:pPr>
      <w:r>
        <w:rPr>
          <w:rFonts w:eastAsia="Calibri"/>
          <w:color w:val="252631"/>
          <w:sz w:val="24"/>
          <w:szCs w:val="24"/>
        </w:rPr>
        <w:t>Nel decennio 2000-2010</w:t>
      </w:r>
      <w:r w:rsidR="5C731F35" w:rsidRPr="2162D8E8">
        <w:rPr>
          <w:rFonts w:eastAsia="Calibri"/>
          <w:color w:val="252631"/>
          <w:sz w:val="24"/>
          <w:szCs w:val="24"/>
        </w:rPr>
        <w:t xml:space="preserve"> è stato impresso un notevole sforzo per avvicinare le imprese italiane al mercato azionario con </w:t>
      </w:r>
      <w:r w:rsidR="5C731F35" w:rsidRPr="2162D8E8">
        <w:rPr>
          <w:rFonts w:eastAsia="Calibri"/>
          <w:b/>
          <w:bCs/>
          <w:color w:val="252631"/>
          <w:sz w:val="24"/>
          <w:szCs w:val="24"/>
        </w:rPr>
        <w:t xml:space="preserve">l’ammissione a quotazione di 236 società sui mercati di Borsa </w:t>
      </w:r>
      <w:r w:rsidR="0077261F">
        <w:rPr>
          <w:rFonts w:eastAsia="Calibri"/>
          <w:b/>
          <w:bCs/>
          <w:color w:val="252631"/>
          <w:sz w:val="24"/>
          <w:szCs w:val="24"/>
        </w:rPr>
        <w:t>i</w:t>
      </w:r>
      <w:r w:rsidR="5C731F35" w:rsidRPr="2162D8E8">
        <w:rPr>
          <w:rFonts w:eastAsia="Calibri"/>
          <w:b/>
          <w:bCs/>
          <w:color w:val="252631"/>
          <w:sz w:val="24"/>
          <w:szCs w:val="24"/>
        </w:rPr>
        <w:t>taliana</w:t>
      </w:r>
      <w:r w:rsidR="00DB0530">
        <w:rPr>
          <w:rFonts w:eastAsia="Calibri"/>
          <w:color w:val="252631"/>
          <w:sz w:val="24"/>
          <w:szCs w:val="24"/>
        </w:rPr>
        <w:t>.</w:t>
      </w:r>
      <w:r w:rsidR="5C731F35">
        <w:br/>
      </w:r>
      <w:r w:rsidR="5C731F35" w:rsidRPr="2162D8E8">
        <w:rPr>
          <w:rFonts w:eastAsia="Calibri"/>
          <w:color w:val="252631"/>
          <w:sz w:val="24"/>
          <w:szCs w:val="24"/>
        </w:rPr>
        <w:t>Il maggior contributo alla crescita del numero delle società quotate è venuto dalle imprese di piccole e medie dimensioni</w:t>
      </w:r>
      <w:r w:rsidR="004C4970">
        <w:rPr>
          <w:rFonts w:eastAsia="Calibri"/>
          <w:color w:val="252631"/>
          <w:sz w:val="24"/>
          <w:szCs w:val="24"/>
        </w:rPr>
        <w:t xml:space="preserve">: </w:t>
      </w:r>
      <w:r w:rsidR="5C731F35" w:rsidRPr="2162D8E8">
        <w:rPr>
          <w:rFonts w:eastAsia="Calibri"/>
          <w:color w:val="252631"/>
          <w:sz w:val="24"/>
          <w:szCs w:val="24"/>
        </w:rPr>
        <w:t xml:space="preserve">163 hanno ritenuto la Borsa il luogo dove poter finanziare i propri progetti imprenditoriali con capitale di rischio. A fine </w:t>
      </w:r>
      <w:r w:rsidR="5C731F35" w:rsidRPr="2162D8E8">
        <w:rPr>
          <w:rFonts w:eastAsia="Calibri"/>
          <w:b/>
          <w:bCs/>
          <w:color w:val="252631"/>
          <w:sz w:val="24"/>
          <w:szCs w:val="24"/>
        </w:rPr>
        <w:t>2007</w:t>
      </w:r>
      <w:r w:rsidR="5C731F35" w:rsidRPr="2162D8E8">
        <w:rPr>
          <w:rFonts w:eastAsia="Calibri"/>
          <w:color w:val="252631"/>
          <w:sz w:val="24"/>
          <w:szCs w:val="24"/>
        </w:rPr>
        <w:t xml:space="preserve"> </w:t>
      </w:r>
      <w:r w:rsidR="5C731F35" w:rsidRPr="2162D8E8">
        <w:rPr>
          <w:rFonts w:eastAsia="Calibri"/>
          <w:color w:val="252631"/>
          <w:sz w:val="24"/>
          <w:szCs w:val="24"/>
          <w:u w:val="single"/>
        </w:rPr>
        <w:t xml:space="preserve">le società italiane quotate erano 301 e la capitalizzazione di mercato aveva raggiunto il 48% del Pil. </w:t>
      </w:r>
    </w:p>
    <w:p w14:paraId="44FF5843" w14:textId="31CA5A18" w:rsidR="009507C4" w:rsidRPr="00126715" w:rsidRDefault="005D3076" w:rsidP="00126715">
      <w:pPr>
        <w:spacing w:before="240" w:after="240" w:line="276" w:lineRule="auto"/>
        <w:rPr>
          <w:rFonts w:eastAsia="Calibri" w:cstheme="minorHAnsi"/>
          <w:color w:val="252631"/>
          <w:sz w:val="24"/>
          <w:szCs w:val="24"/>
        </w:rPr>
      </w:pPr>
      <w:r w:rsidRPr="005D3076">
        <w:rPr>
          <w:rFonts w:eastAsia="Calibri" w:cstheme="minorHAnsi"/>
          <w:noProof/>
          <w:color w:val="252631"/>
          <w:sz w:val="24"/>
          <w:szCs w:val="24"/>
          <w:lang w:eastAsia="it-IT"/>
        </w:rPr>
        <w:drawing>
          <wp:anchor distT="0" distB="0" distL="114300" distR="114300" simplePos="0" relativeHeight="251658245" behindDoc="1" locked="0" layoutInCell="1" allowOverlap="1" wp14:anchorId="483DA650" wp14:editId="57A7143B">
            <wp:simplePos x="0" y="0"/>
            <wp:positionH relativeFrom="margin">
              <wp:align>right</wp:align>
            </wp:positionH>
            <wp:positionV relativeFrom="paragraph">
              <wp:posOffset>1240155</wp:posOffset>
            </wp:positionV>
            <wp:extent cx="6332220" cy="3210560"/>
            <wp:effectExtent l="0" t="0" r="0" b="8890"/>
            <wp:wrapTight wrapText="bothSides">
              <wp:wrapPolygon edited="0">
                <wp:start x="0" y="0"/>
                <wp:lineTo x="0" y="21532"/>
                <wp:lineTo x="21509" y="21532"/>
                <wp:lineTo x="21509" y="0"/>
                <wp:lineTo x="0" y="0"/>
              </wp:wrapPolygon>
            </wp:wrapTight>
            <wp:docPr id="1141320504" name="Immagine 1" descr="Immagine che contiene testo, schermata,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320504" name="Immagine 1" descr="Immagine che contiene testo, schermata, software&#10;&#10;Descrizione generat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6332220" cy="3210560"/>
                    </a:xfrm>
                    <a:prstGeom prst="rect">
                      <a:avLst/>
                    </a:prstGeom>
                  </pic:spPr>
                </pic:pic>
              </a:graphicData>
            </a:graphic>
          </wp:anchor>
        </w:drawing>
      </w:r>
      <w:r w:rsidR="5C731F35" w:rsidRPr="00E02CB7">
        <w:rPr>
          <w:rFonts w:eastAsia="Calibri" w:cstheme="minorHAnsi"/>
          <w:color w:val="252631"/>
          <w:sz w:val="24"/>
          <w:szCs w:val="24"/>
        </w:rPr>
        <w:t xml:space="preserve">Nel corso del decennio 2009-2018 sotto la guida di Raffaele </w:t>
      </w:r>
      <w:proofErr w:type="spellStart"/>
      <w:r w:rsidR="5C731F35" w:rsidRPr="00E02CB7">
        <w:rPr>
          <w:rFonts w:eastAsia="Calibri" w:cstheme="minorHAnsi"/>
          <w:color w:val="252631"/>
          <w:sz w:val="24"/>
          <w:szCs w:val="24"/>
        </w:rPr>
        <w:t>Jerusalmi</w:t>
      </w:r>
      <w:proofErr w:type="spellEnd"/>
      <w:r w:rsidR="5C731F35" w:rsidRPr="00E02CB7">
        <w:rPr>
          <w:rFonts w:eastAsia="Calibri" w:cstheme="minorHAnsi"/>
          <w:color w:val="252631"/>
          <w:sz w:val="24"/>
          <w:szCs w:val="24"/>
        </w:rPr>
        <w:t xml:space="preserve">, Amministratore Delegato dal 2010, l’attività di Borsa </w:t>
      </w:r>
      <w:r w:rsidR="001951D8">
        <w:rPr>
          <w:rFonts w:eastAsia="Calibri" w:cstheme="minorHAnsi"/>
          <w:color w:val="252631"/>
          <w:sz w:val="24"/>
          <w:szCs w:val="24"/>
        </w:rPr>
        <w:t>i</w:t>
      </w:r>
      <w:r w:rsidR="5C731F35" w:rsidRPr="00E02CB7">
        <w:rPr>
          <w:rFonts w:eastAsia="Calibri" w:cstheme="minorHAnsi"/>
          <w:color w:val="252631"/>
          <w:sz w:val="24"/>
          <w:szCs w:val="24"/>
        </w:rPr>
        <w:t>taliana si è orientata prevalentemente lungo tre direttrici principali: il consolidamento e lo sviluppo dei mercati, il potenziamento dei rapporti tra i partecipanti al mercato e la promozione culturale ed artisti</w:t>
      </w:r>
      <w:r w:rsidR="009B63B0">
        <w:rPr>
          <w:rFonts w:eastAsia="Calibri" w:cstheme="minorHAnsi"/>
          <w:color w:val="252631"/>
          <w:sz w:val="24"/>
          <w:szCs w:val="24"/>
        </w:rPr>
        <w:t>.</w:t>
      </w:r>
    </w:p>
    <w:p w14:paraId="282BEF88" w14:textId="3AEF16EC" w:rsidR="00126715" w:rsidRPr="00962ED3" w:rsidRDefault="00B40FB8" w:rsidP="00126715">
      <w:pPr>
        <w:spacing w:before="360" w:after="0" w:line="360" w:lineRule="auto"/>
        <w:rPr>
          <w:rFonts w:eastAsiaTheme="minorEastAsia"/>
          <w:color w:val="66FF66"/>
          <w:sz w:val="20"/>
          <w:szCs w:val="20"/>
        </w:rPr>
      </w:pPr>
      <w:r>
        <w:rPr>
          <w:noProof/>
          <w:lang w:eastAsia="it-IT"/>
        </w:rPr>
        <w:drawing>
          <wp:anchor distT="0" distB="0" distL="114300" distR="114300" simplePos="0" relativeHeight="251658247" behindDoc="0" locked="0" layoutInCell="1" allowOverlap="1" wp14:anchorId="43894E5E" wp14:editId="0C9EF7D9">
            <wp:simplePos x="0" y="0"/>
            <wp:positionH relativeFrom="margin">
              <wp:posOffset>3774273</wp:posOffset>
            </wp:positionH>
            <wp:positionV relativeFrom="paragraph">
              <wp:posOffset>3565010</wp:posOffset>
            </wp:positionV>
            <wp:extent cx="2551658" cy="1694227"/>
            <wp:effectExtent l="0" t="0" r="1270" b="1270"/>
            <wp:wrapNone/>
            <wp:docPr id="5" name="Immagine 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60719" cy="1700243"/>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13" w:history="1">
        <w:r w:rsidR="00126715" w:rsidRPr="00962ED3">
          <w:rPr>
            <w:rStyle w:val="Collegamentoipertestuale"/>
            <w:rFonts w:eastAsiaTheme="minorEastAsia"/>
            <w:sz w:val="20"/>
            <w:szCs w:val="20"/>
          </w:rPr>
          <w:t>https://www.timetoast.com/timelines/3076897</w:t>
        </w:r>
      </w:hyperlink>
    </w:p>
    <w:p w14:paraId="3068D5CA" w14:textId="7DE19BA3" w:rsidR="5C731F35" w:rsidRPr="004227A8" w:rsidRDefault="5C731F35" w:rsidP="004227A8">
      <w:pPr>
        <w:pStyle w:val="Paragrafoelenco"/>
        <w:numPr>
          <w:ilvl w:val="0"/>
          <w:numId w:val="44"/>
        </w:numPr>
        <w:spacing w:before="240" w:after="0" w:line="276" w:lineRule="auto"/>
        <w:ind w:left="357" w:hanging="357"/>
        <w:rPr>
          <w:rFonts w:eastAsiaTheme="minorEastAsia"/>
          <w:b/>
          <w:bCs/>
          <w:color w:val="66FF66"/>
          <w:sz w:val="24"/>
          <w:szCs w:val="24"/>
        </w:rPr>
      </w:pPr>
      <w:r w:rsidRPr="004227A8">
        <w:rPr>
          <w:rFonts w:eastAsiaTheme="minorEastAsia"/>
          <w:b/>
          <w:bCs/>
          <w:color w:val="66FF66"/>
          <w:sz w:val="24"/>
          <w:szCs w:val="24"/>
        </w:rPr>
        <w:t>Storia della sede</w:t>
      </w:r>
    </w:p>
    <w:p w14:paraId="17DF6541" w14:textId="56CEC284" w:rsidR="5C731F35" w:rsidRPr="00E02CB7" w:rsidRDefault="5C731F35" w:rsidP="00D2235C">
      <w:pPr>
        <w:spacing w:before="240" w:after="0" w:line="276" w:lineRule="auto"/>
        <w:ind w:right="5159"/>
      </w:pPr>
      <w:r w:rsidRPr="2162D8E8">
        <w:rPr>
          <w:rFonts w:eastAsia="Calibri"/>
          <w:color w:val="000000" w:themeColor="text1"/>
          <w:sz w:val="24"/>
          <w:szCs w:val="24"/>
        </w:rPr>
        <w:t xml:space="preserve">La prima sede della Borsa di Milano fu il </w:t>
      </w:r>
      <w:r w:rsidRPr="2162D8E8">
        <w:rPr>
          <w:rFonts w:eastAsia="Calibri"/>
          <w:b/>
          <w:bCs/>
          <w:color w:val="000000" w:themeColor="text1"/>
          <w:sz w:val="24"/>
          <w:szCs w:val="24"/>
        </w:rPr>
        <w:t>Monte di Pietà</w:t>
      </w:r>
      <w:r w:rsidRPr="2162D8E8">
        <w:rPr>
          <w:rFonts w:eastAsia="Calibri"/>
          <w:color w:val="000000" w:themeColor="text1"/>
          <w:sz w:val="24"/>
          <w:szCs w:val="24"/>
        </w:rPr>
        <w:t xml:space="preserve">, dove essa venne istituita. Pochi mesi dopo, a causa dell’inadeguatezza della sede, venne trasferita per un breve periodo nel </w:t>
      </w:r>
      <w:r w:rsidRPr="00E97284">
        <w:rPr>
          <w:rFonts w:eastAsia="Calibri"/>
          <w:color w:val="000000" w:themeColor="text1"/>
          <w:sz w:val="24"/>
          <w:szCs w:val="24"/>
        </w:rPr>
        <w:lastRenderedPageBreak/>
        <w:t>Fabbricato della piazza dei Tribunali</w:t>
      </w:r>
      <w:r w:rsidRPr="2162D8E8">
        <w:rPr>
          <w:rFonts w:eastAsia="Calibri"/>
          <w:color w:val="000000" w:themeColor="text1"/>
          <w:sz w:val="24"/>
          <w:szCs w:val="24"/>
        </w:rPr>
        <w:t xml:space="preserve"> fino al 29 </w:t>
      </w:r>
      <w:r w:rsidR="0031483A">
        <w:rPr>
          <w:noProof/>
          <w:lang w:eastAsia="it-IT"/>
        </w:rPr>
        <w:drawing>
          <wp:anchor distT="0" distB="0" distL="114300" distR="114300" simplePos="0" relativeHeight="251658253" behindDoc="0" locked="0" layoutInCell="1" allowOverlap="1" wp14:anchorId="0B03ADBB" wp14:editId="4EFB5F0B">
            <wp:simplePos x="0" y="0"/>
            <wp:positionH relativeFrom="margin">
              <wp:posOffset>3503079</wp:posOffset>
            </wp:positionH>
            <wp:positionV relativeFrom="paragraph">
              <wp:posOffset>356870</wp:posOffset>
            </wp:positionV>
            <wp:extent cx="2973070" cy="1939290"/>
            <wp:effectExtent l="0" t="0" r="0" b="3810"/>
            <wp:wrapNone/>
            <wp:docPr id="15" name="Immagine 8" descr="Immagine che contiene aria aperta, cielo, edificio, città&#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8" descr="Immagine che contiene aria aperta, cielo, edificio, città&#10;&#10;Descrizione generata automaticament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73070" cy="1939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2162D8E8">
        <w:rPr>
          <w:rFonts w:eastAsia="Calibri"/>
          <w:color w:val="000000" w:themeColor="text1"/>
          <w:sz w:val="24"/>
          <w:szCs w:val="24"/>
        </w:rPr>
        <w:t xml:space="preserve">settembre 1808, quando venne inaugurata la sede nel </w:t>
      </w:r>
      <w:r w:rsidRPr="00E97284">
        <w:rPr>
          <w:rFonts w:eastAsia="Calibri"/>
          <w:b/>
          <w:bCs/>
          <w:color w:val="000000" w:themeColor="text1"/>
          <w:sz w:val="24"/>
          <w:szCs w:val="24"/>
        </w:rPr>
        <w:t>Palazzo dei Giureconsulti</w:t>
      </w:r>
      <w:r w:rsidRPr="2162D8E8">
        <w:rPr>
          <w:rFonts w:eastAsia="Calibri"/>
          <w:color w:val="000000" w:themeColor="text1"/>
          <w:sz w:val="24"/>
          <w:szCs w:val="24"/>
        </w:rPr>
        <w:t xml:space="preserve">. </w:t>
      </w:r>
    </w:p>
    <w:p w14:paraId="55BEBB11" w14:textId="6975E643" w:rsidR="5C731F35" w:rsidRPr="00E02CB7" w:rsidRDefault="5C731F35" w:rsidP="00D2235C">
      <w:pPr>
        <w:spacing w:after="0" w:line="276" w:lineRule="auto"/>
        <w:ind w:right="5159"/>
      </w:pPr>
      <w:r w:rsidRPr="2162D8E8">
        <w:rPr>
          <w:rFonts w:eastAsia="Calibri"/>
          <w:color w:val="000000" w:themeColor="text1"/>
          <w:sz w:val="24"/>
          <w:szCs w:val="24"/>
        </w:rPr>
        <w:t xml:space="preserve">In seguito, a causa di alcune ristrutturazioni del </w:t>
      </w:r>
      <w:r w:rsidRPr="00E97284">
        <w:rPr>
          <w:rFonts w:eastAsia="Calibri"/>
          <w:color w:val="000000" w:themeColor="text1"/>
          <w:sz w:val="24"/>
          <w:szCs w:val="24"/>
        </w:rPr>
        <w:t>Palazzo dei Giureconsulti,</w:t>
      </w:r>
      <w:r w:rsidRPr="2162D8E8">
        <w:rPr>
          <w:rFonts w:eastAsia="Calibri"/>
          <w:color w:val="000000" w:themeColor="text1"/>
          <w:sz w:val="24"/>
          <w:szCs w:val="24"/>
        </w:rPr>
        <w:t xml:space="preserve"> la Borsa occupò tra il 1887 e il 1890 il Ridotto del </w:t>
      </w:r>
      <w:r w:rsidRPr="2162D8E8">
        <w:rPr>
          <w:rFonts w:eastAsia="Calibri"/>
          <w:b/>
          <w:bCs/>
          <w:color w:val="000000" w:themeColor="text1"/>
          <w:sz w:val="24"/>
          <w:szCs w:val="24"/>
        </w:rPr>
        <w:t>Teatro alla Scala</w:t>
      </w:r>
      <w:r w:rsidRPr="2162D8E8">
        <w:rPr>
          <w:rFonts w:eastAsia="Calibri"/>
          <w:color w:val="000000" w:themeColor="text1"/>
          <w:sz w:val="24"/>
          <w:szCs w:val="24"/>
        </w:rPr>
        <w:t>.</w:t>
      </w:r>
      <w:r w:rsidR="004C3004" w:rsidRPr="004C3004">
        <w:rPr>
          <w:noProof/>
        </w:rPr>
        <w:t xml:space="preserve"> </w:t>
      </w:r>
    </w:p>
    <w:p w14:paraId="05F0E09D" w14:textId="14C51DA6" w:rsidR="5C731F35" w:rsidRPr="00E02CB7" w:rsidRDefault="5C731F35" w:rsidP="00D2235C">
      <w:pPr>
        <w:spacing w:after="0" w:line="276" w:lineRule="auto"/>
        <w:ind w:right="5159"/>
      </w:pPr>
      <w:r w:rsidRPr="2162D8E8">
        <w:rPr>
          <w:rFonts w:eastAsia="Calibri"/>
          <w:color w:val="000000" w:themeColor="text1"/>
          <w:sz w:val="24"/>
          <w:szCs w:val="24"/>
        </w:rPr>
        <w:t xml:space="preserve">Agli inizi del ‘900, precisamente l’8 ottobre 1901, fu inaugurata una sede nell’attuale </w:t>
      </w:r>
      <w:r w:rsidR="00030E1F">
        <w:rPr>
          <w:rFonts w:eastAsia="Calibri"/>
          <w:b/>
          <w:bCs/>
          <w:color w:val="000000" w:themeColor="text1"/>
          <w:sz w:val="24"/>
          <w:szCs w:val="24"/>
        </w:rPr>
        <w:t>P</w:t>
      </w:r>
      <w:r w:rsidRPr="00030E1F">
        <w:rPr>
          <w:rFonts w:eastAsia="Calibri"/>
          <w:b/>
          <w:bCs/>
          <w:color w:val="000000" w:themeColor="text1"/>
          <w:sz w:val="24"/>
          <w:szCs w:val="24"/>
        </w:rPr>
        <w:t>alazzo delle</w:t>
      </w:r>
      <w:r w:rsidRPr="2162D8E8">
        <w:rPr>
          <w:rFonts w:eastAsia="Calibri"/>
          <w:color w:val="000000" w:themeColor="text1"/>
          <w:sz w:val="24"/>
          <w:szCs w:val="24"/>
        </w:rPr>
        <w:t xml:space="preserve"> </w:t>
      </w:r>
      <w:r w:rsidRPr="2162D8E8">
        <w:rPr>
          <w:rFonts w:eastAsia="Calibri"/>
          <w:b/>
          <w:bCs/>
          <w:color w:val="000000" w:themeColor="text1"/>
          <w:sz w:val="24"/>
          <w:szCs w:val="24"/>
        </w:rPr>
        <w:t>Poste in Piazza Cordusio</w:t>
      </w:r>
      <w:r w:rsidRPr="2162D8E8">
        <w:rPr>
          <w:rFonts w:eastAsia="Calibri"/>
          <w:color w:val="000000" w:themeColor="text1"/>
          <w:sz w:val="24"/>
          <w:szCs w:val="24"/>
        </w:rPr>
        <w:t xml:space="preserve">, e nel 1932 si ebbe la sede definitiva nel </w:t>
      </w:r>
      <w:r w:rsidRPr="2162D8E8">
        <w:rPr>
          <w:rFonts w:eastAsia="Calibri"/>
          <w:b/>
          <w:bCs/>
          <w:color w:val="000000" w:themeColor="text1"/>
          <w:sz w:val="24"/>
          <w:szCs w:val="24"/>
        </w:rPr>
        <w:t>Palazzo Mezzanotte</w:t>
      </w:r>
      <w:r w:rsidRPr="2162D8E8">
        <w:rPr>
          <w:rFonts w:eastAsia="Calibri"/>
          <w:color w:val="000000" w:themeColor="text1"/>
          <w:sz w:val="24"/>
          <w:szCs w:val="24"/>
        </w:rPr>
        <w:t>, dal nome dell’architetto che lo ha progettato, situato in Piazza degli Affari.</w:t>
      </w:r>
      <w:r w:rsidR="00105BDD" w:rsidRPr="00105BDD">
        <w:rPr>
          <w:noProof/>
        </w:rPr>
        <w:t xml:space="preserve"> </w:t>
      </w:r>
    </w:p>
    <w:p w14:paraId="2D01258F" w14:textId="690F2EE9" w:rsidR="5C731F35" w:rsidRPr="00E02CB7" w:rsidRDefault="0031483A" w:rsidP="00D2235C">
      <w:pPr>
        <w:spacing w:after="0" w:line="276" w:lineRule="auto"/>
        <w:ind w:right="5159"/>
      </w:pPr>
      <w:r>
        <w:rPr>
          <w:noProof/>
          <w:lang w:eastAsia="it-IT"/>
        </w:rPr>
        <w:drawing>
          <wp:anchor distT="0" distB="0" distL="114300" distR="114300" simplePos="0" relativeHeight="251658254" behindDoc="0" locked="0" layoutInCell="1" allowOverlap="1" wp14:anchorId="6B773AC5" wp14:editId="5F0D696B">
            <wp:simplePos x="0" y="0"/>
            <wp:positionH relativeFrom="margin">
              <wp:posOffset>3522524</wp:posOffset>
            </wp:positionH>
            <wp:positionV relativeFrom="paragraph">
              <wp:posOffset>603622</wp:posOffset>
            </wp:positionV>
            <wp:extent cx="2988310" cy="1553489"/>
            <wp:effectExtent l="0" t="0" r="2540" b="8890"/>
            <wp:wrapNone/>
            <wp:docPr id="1746990794" name="Immagine 3" descr="Immagine che contiene aria aperta, cielo, edificio, cupol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988310" cy="15534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5C731F35" w:rsidRPr="4ECAAAEF">
        <w:rPr>
          <w:rFonts w:eastAsia="Calibri"/>
          <w:color w:val="000000" w:themeColor="text1"/>
          <w:sz w:val="24"/>
          <w:szCs w:val="24"/>
        </w:rPr>
        <w:t xml:space="preserve">Si estendeva su un’area di quasi 6.500 mq e ospitava una galleria a portici, che si poteva definire una vera piazza coperta per i servizi e </w:t>
      </w:r>
      <w:r w:rsidR="003106DC" w:rsidRPr="4ECAAAEF">
        <w:rPr>
          <w:rFonts w:eastAsia="Calibri"/>
          <w:color w:val="000000" w:themeColor="text1"/>
          <w:sz w:val="24"/>
          <w:szCs w:val="24"/>
        </w:rPr>
        <w:t>gli operatori</w:t>
      </w:r>
      <w:r w:rsidR="5C731F35" w:rsidRPr="4ECAAAEF">
        <w:rPr>
          <w:rFonts w:eastAsia="Calibri"/>
          <w:color w:val="000000" w:themeColor="text1"/>
          <w:sz w:val="24"/>
          <w:szCs w:val="24"/>
        </w:rPr>
        <w:t xml:space="preserve">, un salone ovale per le contrattazioni, un servizio telegrafico e postale, un albergo diurno, un bar, un ristorante, </w:t>
      </w:r>
      <w:r w:rsidR="0097745D" w:rsidRPr="4ECAAAEF">
        <w:rPr>
          <w:rFonts w:eastAsia="Calibri"/>
          <w:color w:val="000000" w:themeColor="text1"/>
          <w:sz w:val="24"/>
          <w:szCs w:val="24"/>
        </w:rPr>
        <w:t>servizi amministrativi</w:t>
      </w:r>
      <w:r w:rsidR="5C731F35" w:rsidRPr="4ECAAAEF">
        <w:rPr>
          <w:rFonts w:eastAsia="Calibri"/>
          <w:color w:val="000000" w:themeColor="text1"/>
          <w:sz w:val="24"/>
          <w:szCs w:val="24"/>
        </w:rPr>
        <w:t>, una biblioteca e un locale di lettura, e separati dal resto i borsini, dove vi erano gli operatori.</w:t>
      </w:r>
    </w:p>
    <w:p w14:paraId="3EACFECB" w14:textId="315B661A" w:rsidR="5C731F35" w:rsidRPr="00E02CB7" w:rsidRDefault="0031483A" w:rsidP="00D2235C">
      <w:pPr>
        <w:spacing w:after="0" w:line="276" w:lineRule="auto"/>
        <w:ind w:right="5159"/>
      </w:pPr>
      <w:r>
        <w:rPr>
          <w:noProof/>
          <w:lang w:eastAsia="it-IT"/>
        </w:rPr>
        <w:drawing>
          <wp:anchor distT="0" distB="0" distL="114300" distR="114300" simplePos="0" relativeHeight="251658248" behindDoc="0" locked="0" layoutInCell="1" allowOverlap="1" wp14:anchorId="0DDE82F9" wp14:editId="1D04DFE1">
            <wp:simplePos x="0" y="0"/>
            <wp:positionH relativeFrom="margin">
              <wp:posOffset>3319457</wp:posOffset>
            </wp:positionH>
            <wp:positionV relativeFrom="paragraph">
              <wp:posOffset>1123866</wp:posOffset>
            </wp:positionV>
            <wp:extent cx="3208020" cy="2406015"/>
            <wp:effectExtent l="0" t="0" r="0" b="0"/>
            <wp:wrapNone/>
            <wp:docPr id="116854579" name="Immagine 9" descr="Immagine che contiene aria aperta, finestra, cielo,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3208020" cy="2406015"/>
                    </a:xfrm>
                    <a:prstGeom prst="rect">
                      <a:avLst/>
                    </a:prstGeom>
                    <a:noFill/>
                    <a:ln>
                      <a:noFill/>
                    </a:ln>
                  </pic:spPr>
                </pic:pic>
              </a:graphicData>
            </a:graphic>
          </wp:anchor>
        </w:drawing>
      </w:r>
      <w:r w:rsidR="5C731F35" w:rsidRPr="6AF4A55A">
        <w:rPr>
          <w:rFonts w:eastAsia="Calibri"/>
          <w:b/>
          <w:bCs/>
          <w:color w:val="000000" w:themeColor="text1"/>
          <w:sz w:val="24"/>
          <w:szCs w:val="24"/>
        </w:rPr>
        <w:t>Oggi Palazzo Mezzanotte, sede della Borsa Italiana S.p.A.</w:t>
      </w:r>
      <w:r w:rsidR="5C731F35" w:rsidRPr="6AF4A55A">
        <w:rPr>
          <w:rFonts w:eastAsia="Calibri"/>
          <w:color w:val="000000" w:themeColor="text1"/>
          <w:sz w:val="24"/>
          <w:szCs w:val="24"/>
        </w:rPr>
        <w:t xml:space="preserve">, società che gestisce la Borsa </w:t>
      </w:r>
      <w:r w:rsidR="006657D7">
        <w:rPr>
          <w:rFonts w:eastAsia="Calibri"/>
          <w:color w:val="000000" w:themeColor="text1"/>
          <w:sz w:val="24"/>
          <w:szCs w:val="24"/>
        </w:rPr>
        <w:t>v</w:t>
      </w:r>
      <w:r w:rsidR="5C731F35" w:rsidRPr="6AF4A55A">
        <w:rPr>
          <w:rFonts w:eastAsia="Calibri"/>
          <w:color w:val="000000" w:themeColor="text1"/>
          <w:sz w:val="24"/>
          <w:szCs w:val="24"/>
        </w:rPr>
        <w:t>alori, non ospita più indaffarati agenti di cambio tesi a scambiare titoli, ma dei “freddi” calcolatori sui quali si incontrano la domanda e l’offerta di operatori del mondo.</w:t>
      </w:r>
    </w:p>
    <w:p w14:paraId="4AAB2F2B" w14:textId="37ED390D" w:rsidR="71A88313" w:rsidRPr="00FE25A2" w:rsidRDefault="0031483A" w:rsidP="1D3FE3A0">
      <w:pPr>
        <w:spacing w:before="240" w:after="0" w:line="276" w:lineRule="auto"/>
      </w:pPr>
      <w:r>
        <w:rPr>
          <w:noProof/>
          <w:lang w:eastAsia="it-IT"/>
        </w:rPr>
        <w:drawing>
          <wp:anchor distT="0" distB="0" distL="114300" distR="114300" simplePos="0" relativeHeight="251658251" behindDoc="0" locked="0" layoutInCell="1" allowOverlap="1" wp14:anchorId="78D55D0A" wp14:editId="42D3331C">
            <wp:simplePos x="0" y="0"/>
            <wp:positionH relativeFrom="margin">
              <wp:posOffset>62673</wp:posOffset>
            </wp:positionH>
            <wp:positionV relativeFrom="paragraph">
              <wp:posOffset>68963</wp:posOffset>
            </wp:positionV>
            <wp:extent cx="2873398" cy="2156604"/>
            <wp:effectExtent l="0" t="0" r="3175" b="0"/>
            <wp:wrapNone/>
            <wp:docPr id="201366462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3398" cy="2156604"/>
                    </a:xfrm>
                    <a:prstGeom prst="rect">
                      <a:avLst/>
                    </a:prstGeom>
                    <a:noFill/>
                  </pic:spPr>
                </pic:pic>
              </a:graphicData>
            </a:graphic>
            <wp14:sizeRelH relativeFrom="margin">
              <wp14:pctWidth>0</wp14:pctWidth>
            </wp14:sizeRelH>
            <wp14:sizeRelV relativeFrom="margin">
              <wp14:pctHeight>0</wp14:pctHeight>
            </wp14:sizeRelV>
          </wp:anchor>
        </w:drawing>
      </w:r>
    </w:p>
    <w:p w14:paraId="753B57D0" w14:textId="657A9005" w:rsidR="5B91D83B" w:rsidRDefault="5B91D83B" w:rsidP="00CA134D">
      <w:pPr>
        <w:spacing w:line="240" w:lineRule="auto"/>
      </w:pPr>
    </w:p>
    <w:p w14:paraId="34A02C1F" w14:textId="2B56AC22" w:rsidR="00172AC0" w:rsidRDefault="00172AC0" w:rsidP="00D03AA0">
      <w:pPr>
        <w:spacing w:line="240" w:lineRule="auto"/>
        <w:rPr>
          <w:rFonts w:eastAsia="Segoe UI" w:cstheme="minorHAnsi"/>
          <w:color w:val="252631"/>
          <w:sz w:val="20"/>
          <w:szCs w:val="20"/>
        </w:rPr>
      </w:pPr>
    </w:p>
    <w:p w14:paraId="6C9907BD" w14:textId="77777777" w:rsidR="00172AC0" w:rsidRDefault="00172AC0" w:rsidP="00D03AA0">
      <w:pPr>
        <w:spacing w:line="240" w:lineRule="auto"/>
        <w:rPr>
          <w:rFonts w:eastAsia="Segoe UI" w:cstheme="minorHAnsi"/>
          <w:color w:val="252631"/>
          <w:sz w:val="20"/>
          <w:szCs w:val="20"/>
        </w:rPr>
      </w:pPr>
    </w:p>
    <w:p w14:paraId="123B3E35" w14:textId="77777777" w:rsidR="00172AC0" w:rsidRDefault="00172AC0" w:rsidP="00D03AA0">
      <w:pPr>
        <w:spacing w:line="240" w:lineRule="auto"/>
        <w:rPr>
          <w:rFonts w:eastAsia="Segoe UI" w:cstheme="minorHAnsi"/>
          <w:color w:val="252631"/>
          <w:sz w:val="20"/>
          <w:szCs w:val="20"/>
        </w:rPr>
      </w:pPr>
    </w:p>
    <w:p w14:paraId="53F91AB2" w14:textId="77777777" w:rsidR="00172AC0" w:rsidRDefault="00172AC0" w:rsidP="00D03AA0">
      <w:pPr>
        <w:spacing w:line="240" w:lineRule="auto"/>
        <w:rPr>
          <w:rFonts w:eastAsia="Segoe UI" w:cstheme="minorHAnsi"/>
          <w:color w:val="252631"/>
          <w:sz w:val="20"/>
          <w:szCs w:val="20"/>
        </w:rPr>
      </w:pPr>
    </w:p>
    <w:p w14:paraId="14F609B7" w14:textId="77777777" w:rsidR="00172AC0" w:rsidRDefault="00172AC0" w:rsidP="00D03AA0">
      <w:pPr>
        <w:spacing w:line="240" w:lineRule="auto"/>
        <w:rPr>
          <w:rFonts w:eastAsia="Segoe UI" w:cstheme="minorHAnsi"/>
          <w:color w:val="252631"/>
          <w:sz w:val="20"/>
          <w:szCs w:val="20"/>
        </w:rPr>
      </w:pPr>
    </w:p>
    <w:p w14:paraId="422D4EC4" w14:textId="77777777" w:rsidR="00172AC0" w:rsidRDefault="00172AC0" w:rsidP="00D03AA0">
      <w:pPr>
        <w:spacing w:line="240" w:lineRule="auto"/>
        <w:rPr>
          <w:rFonts w:eastAsia="Segoe UI" w:cstheme="minorHAnsi"/>
          <w:color w:val="252631"/>
          <w:sz w:val="20"/>
          <w:szCs w:val="20"/>
        </w:rPr>
      </w:pPr>
    </w:p>
    <w:p w14:paraId="572BD45E" w14:textId="77777777" w:rsidR="00172AC0" w:rsidRDefault="00172AC0" w:rsidP="00D03AA0">
      <w:pPr>
        <w:spacing w:line="240" w:lineRule="auto"/>
        <w:rPr>
          <w:rFonts w:eastAsia="Segoe UI" w:cstheme="minorHAnsi"/>
          <w:color w:val="252631"/>
          <w:sz w:val="20"/>
          <w:szCs w:val="20"/>
        </w:rPr>
      </w:pPr>
    </w:p>
    <w:p w14:paraId="21308D2B" w14:textId="21CAC483" w:rsidR="004227A8" w:rsidRDefault="00841931" w:rsidP="00D03AA0">
      <w:pPr>
        <w:spacing w:line="240" w:lineRule="auto"/>
        <w:rPr>
          <w:rFonts w:eastAsia="Segoe UI" w:cstheme="minorHAnsi"/>
          <w:color w:val="252631"/>
          <w:sz w:val="20"/>
          <w:szCs w:val="20"/>
        </w:rPr>
      </w:pPr>
      <w:r>
        <w:rPr>
          <w:rFonts w:eastAsia="Segoe UI" w:cstheme="minorHAnsi"/>
          <w:noProof/>
          <w:color w:val="252631"/>
          <w:sz w:val="20"/>
          <w:szCs w:val="20"/>
          <w:lang w:eastAsia="it-IT"/>
        </w:rPr>
        <w:lastRenderedPageBreak/>
        <w:drawing>
          <wp:anchor distT="0" distB="0" distL="114300" distR="114300" simplePos="0" relativeHeight="251658252" behindDoc="0" locked="0" layoutInCell="1" allowOverlap="1" wp14:anchorId="7A9E174B" wp14:editId="66DBE59F">
            <wp:simplePos x="0" y="0"/>
            <wp:positionH relativeFrom="margin">
              <wp:align>left</wp:align>
            </wp:positionH>
            <wp:positionV relativeFrom="paragraph">
              <wp:posOffset>190811</wp:posOffset>
            </wp:positionV>
            <wp:extent cx="6332220" cy="2345690"/>
            <wp:effectExtent l="0" t="0" r="0" b="0"/>
            <wp:wrapTopAndBottom/>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24-06-07 162022.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332220" cy="2345690"/>
                    </a:xfrm>
                    <a:prstGeom prst="rect">
                      <a:avLst/>
                    </a:prstGeom>
                  </pic:spPr>
                </pic:pic>
              </a:graphicData>
            </a:graphic>
            <wp14:sizeRelH relativeFrom="margin">
              <wp14:pctWidth>0</wp14:pctWidth>
            </wp14:sizeRelH>
          </wp:anchor>
        </w:drawing>
      </w:r>
    </w:p>
    <w:p w14:paraId="63E2C96E" w14:textId="3F6140FA" w:rsidR="004227A8" w:rsidRDefault="004227A8" w:rsidP="00D03AA0">
      <w:pPr>
        <w:spacing w:line="240" w:lineRule="auto"/>
        <w:rPr>
          <w:rFonts w:eastAsia="Segoe UI" w:cstheme="minorHAnsi"/>
          <w:color w:val="252631"/>
          <w:sz w:val="20"/>
          <w:szCs w:val="20"/>
        </w:rPr>
      </w:pPr>
    </w:p>
    <w:p w14:paraId="5B967E54" w14:textId="3F44C725" w:rsidR="00AF7265" w:rsidRDefault="00AF7265" w:rsidP="00D03AA0">
      <w:pPr>
        <w:spacing w:line="240" w:lineRule="auto"/>
        <w:rPr>
          <w:rFonts w:eastAsia="Segoe UI" w:cstheme="minorHAnsi"/>
          <w:color w:val="252631"/>
          <w:sz w:val="20"/>
          <w:szCs w:val="20"/>
        </w:rPr>
      </w:pPr>
    </w:p>
    <w:p w14:paraId="5D4861CE" w14:textId="1BA562E3" w:rsidR="0027117F" w:rsidRPr="001812E9" w:rsidRDefault="0027117F" w:rsidP="00D03AA0">
      <w:pPr>
        <w:spacing w:line="240" w:lineRule="auto"/>
        <w:rPr>
          <w:b/>
          <w:bCs/>
          <w:outline/>
          <w:color w:val="4472C4" w:themeColor="accent1"/>
          <w:sz w:val="28"/>
          <w:szCs w:val="28"/>
          <w14:shadow w14:blurRad="0" w14:dist="38100" w14:dir="2700000" w14:sx="100000" w14:sy="100000" w14:kx="0" w14:ky="0" w14:algn="tl">
            <w14:schemeClr w14:val="accent1">
              <w14:lumMod w14:val="50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1">
                <w14:lumMod w14:val="50000"/>
              </w14:schemeClr>
            </w14:solidFill>
            <w14:prstDash w14:val="solid"/>
            <w14:round/>
          </w14:textOutline>
          <w14:textFill>
            <w14:solidFill>
              <w14:srgbClr w14:val="FFFFFF"/>
            </w14:solidFill>
          </w14:textFill>
        </w:rPr>
      </w:pPr>
      <w:r w:rsidRPr="001812E9">
        <w:rPr>
          <w:rFonts w:eastAsia="Segoe UI" w:cstheme="minorHAnsi"/>
          <w:color w:val="252631"/>
          <w:sz w:val="20"/>
          <w:szCs w:val="20"/>
        </w:rPr>
        <w:t xml:space="preserve">Fonti: </w:t>
      </w:r>
      <w:hyperlink r:id="rId19" w:history="1">
        <w:r w:rsidRPr="001812E9">
          <w:rPr>
            <w:rStyle w:val="Collegamentoipertestuale"/>
            <w:rFonts w:eastAsia="Segoe UI" w:cstheme="minorHAnsi"/>
            <w:sz w:val="20"/>
            <w:szCs w:val="20"/>
          </w:rPr>
          <w:t>https://www.borsaitaliana.it/</w:t>
        </w:r>
      </w:hyperlink>
    </w:p>
    <w:p w14:paraId="3CDD0ACE" w14:textId="77777777" w:rsidR="0027117F" w:rsidRPr="00646D37" w:rsidRDefault="00000000" w:rsidP="00D03AA0">
      <w:pPr>
        <w:spacing w:line="240" w:lineRule="auto"/>
        <w:rPr>
          <w:rFonts w:eastAsia="Segoe UI" w:cstheme="minorHAnsi"/>
          <w:color w:val="252631"/>
          <w:sz w:val="20"/>
          <w:szCs w:val="20"/>
        </w:rPr>
      </w:pPr>
      <w:hyperlink r:id="rId20" w:history="1">
        <w:r w:rsidR="0027117F" w:rsidRPr="00646D37">
          <w:rPr>
            <w:rStyle w:val="Collegamentoipertestuale"/>
            <w:rFonts w:eastAsia="Segoe UI" w:cstheme="minorHAnsi"/>
            <w:sz w:val="20"/>
            <w:szCs w:val="20"/>
          </w:rPr>
          <w:t>https://www.diritto.it/l-evoluzione-dei-mercati-finanziari-nel-mondo-e-in-italia/</w:t>
        </w:r>
      </w:hyperlink>
    </w:p>
    <w:p w14:paraId="419BD5D7" w14:textId="77777777" w:rsidR="00885783" w:rsidRPr="0027117F" w:rsidRDefault="00885783" w:rsidP="00CA134D">
      <w:pPr>
        <w:spacing w:line="240" w:lineRule="auto"/>
        <w:rPr>
          <w:b/>
          <w:outline/>
          <w:color w:val="4472C4" w:themeColor="accent1"/>
          <w:sz w:val="20"/>
          <w:szCs w:val="20"/>
          <w14:shadow w14:blurRad="0" w14:dist="38100" w14:dir="2700000" w14:sx="100000" w14:sy="100000" w14:kx="0" w14:ky="0" w14:algn="tl">
            <w14:schemeClr w14:val="accent1">
              <w14:lumMod w14:val="50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1">
                <w14:lumMod w14:val="50000"/>
              </w14:schemeClr>
            </w14:solidFill>
            <w14:prstDash w14:val="solid"/>
            <w14:round/>
          </w14:textOutline>
          <w14:textFill>
            <w14:solidFill>
              <w14:srgbClr w14:val="FFFFFF"/>
            </w14:solidFill>
          </w14:textFill>
        </w:rPr>
      </w:pPr>
    </w:p>
    <w:p w14:paraId="2B78C3E9" w14:textId="699B9165" w:rsidR="00FD0AA1" w:rsidRPr="00172441" w:rsidRDefault="004F475A" w:rsidP="00CA134D">
      <w:pPr>
        <w:pStyle w:val="Paragrafoelenco"/>
        <w:numPr>
          <w:ilvl w:val="0"/>
          <w:numId w:val="2"/>
        </w:numPr>
        <w:spacing w:line="336" w:lineRule="auto"/>
        <w:ind w:left="357" w:hanging="357"/>
        <w:rPr>
          <w:b/>
          <w:outline/>
          <w:color w:val="4472C4" w:themeColor="accent1"/>
          <w:sz w:val="28"/>
          <w:szCs w:val="28"/>
          <w14:shadow w14:blurRad="0" w14:dist="38100" w14:dir="2700000" w14:sx="100000" w14:sy="100000" w14:kx="0" w14:ky="0" w14:algn="tl">
            <w14:schemeClr w14:val="accent1">
              <w14:lumMod w14:val="50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1">
                <w14:lumMod w14:val="50000"/>
              </w14:schemeClr>
            </w14:solidFill>
            <w14:prstDash w14:val="solid"/>
            <w14:round/>
          </w14:textOutline>
          <w14:textFill>
            <w14:solidFill>
              <w14:srgbClr w14:val="FFFFFF"/>
            </w14:solidFill>
          </w14:textFill>
        </w:rPr>
      </w:pPr>
      <w:r w:rsidRPr="00172441">
        <w:rPr>
          <w:rFonts w:cstheme="minorHAnsi"/>
          <w:b/>
          <w:bCs/>
          <w:outline/>
          <w:color w:val="4472C4" w:themeColor="accent1"/>
          <w:sz w:val="32"/>
          <w:szCs w:val="32"/>
          <w14:shadow w14:blurRad="0" w14:dist="38100" w14:dir="2700000" w14:sx="100000" w14:sy="100000" w14:kx="0" w14:ky="0" w14:algn="tl">
            <w14:schemeClr w14:val="accent1">
              <w14:lumMod w14:val="50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1">
                <w14:lumMod w14:val="50000"/>
              </w14:schemeClr>
            </w14:solidFill>
            <w14:prstDash w14:val="solid"/>
            <w14:round/>
          </w14:textOutline>
          <w14:textFill>
            <w14:solidFill>
              <w14:srgbClr w14:val="FFFFFF"/>
            </w14:solidFill>
          </w14:textFill>
        </w:rPr>
        <w:t>I</w:t>
      </w:r>
      <w:r w:rsidR="00292C88" w:rsidRPr="00172441">
        <w:rPr>
          <w:rFonts w:cstheme="minorHAnsi"/>
          <w:b/>
          <w:bCs/>
          <w:outline/>
          <w:color w:val="4472C4" w:themeColor="accent1"/>
          <w:sz w:val="32"/>
          <w:szCs w:val="32"/>
          <w14:shadow w14:blurRad="0" w14:dist="38100" w14:dir="2700000" w14:sx="100000" w14:sy="100000" w14:kx="0" w14:ky="0" w14:algn="tl">
            <w14:schemeClr w14:val="accent1">
              <w14:lumMod w14:val="50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1">
                <w14:lumMod w14:val="50000"/>
              </w14:schemeClr>
            </w14:solidFill>
            <w14:prstDash w14:val="solid"/>
            <w14:round/>
          </w14:textOutline>
          <w14:textFill>
            <w14:solidFill>
              <w14:srgbClr w14:val="FFFFFF"/>
            </w14:solidFill>
          </w14:textFill>
        </w:rPr>
        <w:t>ndici</w:t>
      </w:r>
      <w:r w:rsidR="00292C88" w:rsidRPr="00172441">
        <w:rPr>
          <w:b/>
          <w:outline/>
          <w:color w:val="4472C4" w:themeColor="accent1"/>
          <w:sz w:val="28"/>
          <w:szCs w:val="28"/>
          <w14:shadow w14:blurRad="0" w14:dist="38100" w14:dir="2700000" w14:sx="100000" w14:sy="100000" w14:kx="0" w14:ky="0" w14:algn="tl">
            <w14:schemeClr w14:val="accent1">
              <w14:lumMod w14:val="50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1">
                <w14:lumMod w14:val="50000"/>
              </w14:schemeClr>
            </w14:solidFill>
            <w14:prstDash w14:val="solid"/>
            <w14:round/>
          </w14:textOutline>
          <w14:textFill>
            <w14:solidFill>
              <w14:srgbClr w14:val="FFFFFF"/>
            </w14:solidFill>
          </w14:textFill>
        </w:rPr>
        <w:t xml:space="preserve"> </w:t>
      </w:r>
      <w:r w:rsidR="00292C88" w:rsidRPr="00172441">
        <w:rPr>
          <w:rFonts w:cstheme="minorHAnsi"/>
          <w:b/>
          <w:bCs/>
          <w:outline/>
          <w:color w:val="4472C4" w:themeColor="accent1"/>
          <w:sz w:val="32"/>
          <w:szCs w:val="32"/>
          <w14:shadow w14:blurRad="0" w14:dist="38100" w14:dir="2700000" w14:sx="100000" w14:sy="100000" w14:kx="0" w14:ky="0" w14:algn="tl">
            <w14:schemeClr w14:val="accent1">
              <w14:lumMod w14:val="50000"/>
            </w14:schemeClr>
          </w14:shadow>
          <w14:reflection w14:blurRad="6350" w14:stA="55000" w14:stPos="0" w14:endA="50" w14:endPos="85000" w14:dist="60007" w14:dir="5400000" w14:fadeDir="5400000" w14:sx="100000" w14:sy="-100000" w14:kx="0" w14:ky="0" w14:algn="bl"/>
          <w14:textOutline w14:w="6604" w14:cap="flat" w14:cmpd="sng" w14:algn="ctr">
            <w14:solidFill>
              <w14:schemeClr w14:val="accent1">
                <w14:lumMod w14:val="50000"/>
              </w14:schemeClr>
            </w14:solidFill>
            <w14:prstDash w14:val="solid"/>
            <w14:round/>
          </w14:textOutline>
          <w14:textFill>
            <w14:solidFill>
              <w14:srgbClr w14:val="FFFFFF"/>
            </w14:solidFill>
          </w14:textFill>
        </w:rPr>
        <w:t>di Borsa</w:t>
      </w:r>
    </w:p>
    <w:p w14:paraId="08522F6A" w14:textId="07B1BB8B" w:rsidR="00156D7D" w:rsidRPr="00BC0FB9" w:rsidRDefault="009E4E12" w:rsidP="00520937">
      <w:pPr>
        <w:pStyle w:val="Paragrafoelenco"/>
        <w:numPr>
          <w:ilvl w:val="0"/>
          <w:numId w:val="18"/>
        </w:numPr>
        <w:spacing w:before="240" w:after="0" w:line="276" w:lineRule="auto"/>
        <w:ind w:left="357" w:hanging="357"/>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BC0FB9">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t>Che cosa si intende per indice di Borsa e che cosa rappresenta?</w:t>
      </w:r>
    </w:p>
    <w:p w14:paraId="72791F56" w14:textId="506013D0" w:rsidR="00B3281D" w:rsidRDefault="009F531E" w:rsidP="7F9896B4">
      <w:pPr>
        <w:spacing w:before="240" w:after="0" w:line="276" w:lineRule="auto"/>
        <w:rPr>
          <w:color w:val="262629"/>
          <w:sz w:val="24"/>
          <w:szCs w:val="24"/>
          <w:shd w:val="clear" w:color="auto" w:fill="FFFFFF"/>
        </w:rPr>
      </w:pPr>
      <w:r w:rsidRPr="575BAD95">
        <w:rPr>
          <w:color w:val="262629"/>
          <w:sz w:val="24"/>
          <w:szCs w:val="24"/>
          <w:shd w:val="clear" w:color="auto" w:fill="FFFFFF"/>
        </w:rPr>
        <w:t xml:space="preserve">Un </w:t>
      </w:r>
      <w:r w:rsidRPr="575BAD95">
        <w:rPr>
          <w:b/>
          <w:bCs/>
          <w:color w:val="262629"/>
          <w:sz w:val="24"/>
          <w:szCs w:val="24"/>
          <w:shd w:val="clear" w:color="auto" w:fill="FFFFFF"/>
        </w:rPr>
        <w:t>indice di borsa</w:t>
      </w:r>
      <w:r w:rsidRPr="575BAD95">
        <w:rPr>
          <w:color w:val="262629"/>
          <w:sz w:val="24"/>
          <w:szCs w:val="24"/>
          <w:shd w:val="clear" w:color="auto" w:fill="FFFFFF"/>
        </w:rPr>
        <w:t xml:space="preserve"> è la misura del valore di un determinato segmento del mercato azionario.</w:t>
      </w:r>
      <w:r w:rsidR="002D1D69" w:rsidRPr="575BAD95">
        <w:rPr>
          <w:color w:val="262629"/>
          <w:sz w:val="24"/>
          <w:szCs w:val="24"/>
          <w:shd w:val="clear" w:color="auto" w:fill="FFFFFF"/>
        </w:rPr>
        <w:t xml:space="preserve"> </w:t>
      </w:r>
    </w:p>
    <w:p w14:paraId="67CA9F7A" w14:textId="10E50308" w:rsidR="00B3281D" w:rsidRDefault="00C101DC" w:rsidP="7F9896B4">
      <w:pPr>
        <w:tabs>
          <w:tab w:val="left" w:pos="9498"/>
          <w:tab w:val="left" w:pos="9781"/>
        </w:tabs>
        <w:spacing w:after="0" w:line="480" w:lineRule="auto"/>
        <w:rPr>
          <w:color w:val="262629"/>
          <w:sz w:val="24"/>
          <w:szCs w:val="24"/>
          <w:shd w:val="clear" w:color="auto" w:fill="FFFFFF"/>
        </w:rPr>
      </w:pPr>
      <w:r>
        <w:rPr>
          <w:rFonts w:cstheme="minorHAnsi"/>
          <w:b/>
          <w:bCs/>
          <w:noProof/>
          <w:color w:val="262629"/>
          <w:sz w:val="24"/>
          <w:szCs w:val="24"/>
          <w:shd w:val="clear" w:color="auto" w:fill="FFFFFF"/>
          <w:lang w:eastAsia="it-IT"/>
        </w:rPr>
        <w:drawing>
          <wp:anchor distT="0" distB="0" distL="114300" distR="114300" simplePos="0" relativeHeight="251658240" behindDoc="1" locked="0" layoutInCell="1" allowOverlap="1" wp14:anchorId="144F5979" wp14:editId="0795B3E4">
            <wp:simplePos x="0" y="0"/>
            <wp:positionH relativeFrom="column">
              <wp:posOffset>5593715</wp:posOffset>
            </wp:positionH>
            <wp:positionV relativeFrom="paragraph">
              <wp:posOffset>210820</wp:posOffset>
            </wp:positionV>
            <wp:extent cx="472440" cy="472440"/>
            <wp:effectExtent l="0" t="0" r="3810" b="381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2440" cy="472440"/>
                    </a:xfrm>
                    <a:prstGeom prst="rect">
                      <a:avLst/>
                    </a:prstGeom>
                    <a:noFill/>
                  </pic:spPr>
                </pic:pic>
              </a:graphicData>
            </a:graphic>
            <wp14:sizeRelH relativeFrom="margin">
              <wp14:pctWidth>0</wp14:pctWidth>
            </wp14:sizeRelH>
            <wp14:sizeRelV relativeFrom="margin">
              <wp14:pctHeight>0</wp14:pctHeight>
            </wp14:sizeRelV>
          </wp:anchor>
        </w:drawing>
      </w:r>
      <w:r w:rsidR="00B3281D" w:rsidRPr="7F9896B4">
        <w:rPr>
          <w:color w:val="262629"/>
          <w:sz w:val="24"/>
          <w:szCs w:val="24"/>
          <w:shd w:val="clear" w:color="auto" w:fill="FFFFFF"/>
        </w:rPr>
        <w:t>Il “segmento” di un mercato azionario può consistere in:</w:t>
      </w:r>
    </w:p>
    <w:p w14:paraId="250286BD" w14:textId="50BE2234" w:rsidR="00FD0E47" w:rsidRDefault="00C101DC" w:rsidP="7F9896B4">
      <w:pPr>
        <w:pStyle w:val="Paragrafoelenco"/>
        <w:numPr>
          <w:ilvl w:val="0"/>
          <w:numId w:val="19"/>
        </w:numPr>
        <w:tabs>
          <w:tab w:val="left" w:pos="9639"/>
        </w:tabs>
        <w:spacing w:after="0" w:line="600" w:lineRule="auto"/>
        <w:rPr>
          <w:b/>
          <w:bCs/>
          <w:color w:val="262629"/>
          <w:sz w:val="24"/>
          <w:szCs w:val="24"/>
          <w:shd w:val="clear" w:color="auto" w:fill="FFFFFF"/>
        </w:rPr>
      </w:pPr>
      <w:r>
        <w:rPr>
          <w:rFonts w:cstheme="minorHAnsi"/>
          <w:b/>
          <w:bCs/>
          <w:noProof/>
          <w:color w:val="262629"/>
          <w:sz w:val="24"/>
          <w:szCs w:val="24"/>
          <w:shd w:val="clear" w:color="auto" w:fill="FFFFFF"/>
          <w:lang w:eastAsia="it-IT"/>
        </w:rPr>
        <w:drawing>
          <wp:anchor distT="0" distB="0" distL="114300" distR="114300" simplePos="0" relativeHeight="251658241" behindDoc="1" locked="0" layoutInCell="1" allowOverlap="1" wp14:anchorId="27C20837" wp14:editId="57A9F962">
            <wp:simplePos x="0" y="0"/>
            <wp:positionH relativeFrom="column">
              <wp:posOffset>5593715</wp:posOffset>
            </wp:positionH>
            <wp:positionV relativeFrom="paragraph">
              <wp:posOffset>356870</wp:posOffset>
            </wp:positionV>
            <wp:extent cx="472440" cy="472440"/>
            <wp:effectExtent l="0" t="0" r="3810" b="381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2440" cy="472440"/>
                    </a:xfrm>
                    <a:prstGeom prst="rect">
                      <a:avLst/>
                    </a:prstGeom>
                    <a:noFill/>
                  </pic:spPr>
                </pic:pic>
              </a:graphicData>
            </a:graphic>
            <wp14:sizeRelH relativeFrom="margin">
              <wp14:pctWidth>0</wp14:pctWidth>
            </wp14:sizeRelH>
            <wp14:sizeRelV relativeFrom="margin">
              <wp14:pctHeight>0</wp14:pctHeight>
            </wp14:sizeRelV>
          </wp:anchor>
        </w:drawing>
      </w:r>
      <w:r w:rsidR="00B56A7B" w:rsidRPr="7F9896B4">
        <w:rPr>
          <w:color w:val="262629"/>
          <w:sz w:val="24"/>
          <w:szCs w:val="24"/>
          <w:shd w:val="clear" w:color="auto" w:fill="FFFFFF"/>
        </w:rPr>
        <w:t>Una</w:t>
      </w:r>
      <w:r w:rsidR="00B56A7B" w:rsidRPr="7F9896B4">
        <w:rPr>
          <w:b/>
          <w:bCs/>
          <w:color w:val="262629"/>
          <w:sz w:val="24"/>
          <w:szCs w:val="24"/>
          <w:shd w:val="clear" w:color="auto" w:fill="FFFFFF"/>
        </w:rPr>
        <w:t xml:space="preserve"> Borsa </w:t>
      </w:r>
      <w:r w:rsidR="00CC738A">
        <w:rPr>
          <w:b/>
          <w:bCs/>
          <w:color w:val="262629"/>
          <w:sz w:val="24"/>
          <w:szCs w:val="24"/>
          <w:shd w:val="clear" w:color="auto" w:fill="FFFFFF"/>
        </w:rPr>
        <w:t>v</w:t>
      </w:r>
      <w:r w:rsidR="00B56A7B" w:rsidRPr="7F9896B4">
        <w:rPr>
          <w:b/>
          <w:bCs/>
          <w:color w:val="262629"/>
          <w:sz w:val="24"/>
          <w:szCs w:val="24"/>
          <w:shd w:val="clear" w:color="auto" w:fill="FFFFFF"/>
        </w:rPr>
        <w:t>alori</w:t>
      </w:r>
      <w:r w:rsidR="008D7D96" w:rsidRPr="7F9896B4">
        <w:rPr>
          <w:b/>
          <w:bCs/>
          <w:color w:val="262629"/>
          <w:sz w:val="24"/>
          <w:szCs w:val="24"/>
          <w:shd w:val="clear" w:color="auto" w:fill="FFFFFF"/>
        </w:rPr>
        <w:t xml:space="preserve"> </w:t>
      </w:r>
      <w:r w:rsidR="008D7D96" w:rsidRPr="7F9896B4">
        <w:rPr>
          <w:color w:val="262629"/>
          <w:sz w:val="24"/>
          <w:szCs w:val="24"/>
          <w:shd w:val="clear" w:color="auto" w:fill="FFFFFF"/>
        </w:rPr>
        <w:t>(ad esempio la Borsa di Tokyo)</w:t>
      </w:r>
    </w:p>
    <w:p w14:paraId="62BB53BF" w14:textId="7D8E7514" w:rsidR="00B56A7B" w:rsidRPr="00B56A7B" w:rsidRDefault="000E673C" w:rsidP="7F9896B4">
      <w:pPr>
        <w:pStyle w:val="Paragrafoelenco"/>
        <w:numPr>
          <w:ilvl w:val="0"/>
          <w:numId w:val="19"/>
        </w:numPr>
        <w:tabs>
          <w:tab w:val="center" w:pos="8931"/>
        </w:tabs>
        <w:spacing w:after="0" w:line="600" w:lineRule="auto"/>
        <w:rPr>
          <w:b/>
          <w:bCs/>
          <w:color w:val="262629"/>
          <w:sz w:val="24"/>
          <w:szCs w:val="24"/>
          <w:shd w:val="clear" w:color="auto" w:fill="FFFFFF"/>
        </w:rPr>
      </w:pPr>
      <w:r>
        <w:rPr>
          <w:rFonts w:cstheme="minorHAnsi"/>
          <w:b/>
          <w:bCs/>
          <w:noProof/>
          <w:color w:val="262629"/>
          <w:sz w:val="24"/>
          <w:szCs w:val="24"/>
          <w:shd w:val="clear" w:color="auto" w:fill="FFFFFF"/>
          <w:lang w:eastAsia="it-IT"/>
        </w:rPr>
        <w:drawing>
          <wp:anchor distT="0" distB="0" distL="114300" distR="114300" simplePos="0" relativeHeight="251658242" behindDoc="1" locked="0" layoutInCell="1" allowOverlap="1" wp14:anchorId="21DF8E9B" wp14:editId="702F4E9C">
            <wp:simplePos x="0" y="0"/>
            <wp:positionH relativeFrom="column">
              <wp:posOffset>5608955</wp:posOffset>
            </wp:positionH>
            <wp:positionV relativeFrom="paragraph">
              <wp:posOffset>401955</wp:posOffset>
            </wp:positionV>
            <wp:extent cx="464820" cy="464820"/>
            <wp:effectExtent l="0" t="0" r="0" b="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4820" cy="464820"/>
                    </a:xfrm>
                    <a:prstGeom prst="rect">
                      <a:avLst/>
                    </a:prstGeom>
                    <a:noFill/>
                  </pic:spPr>
                </pic:pic>
              </a:graphicData>
            </a:graphic>
            <wp14:sizeRelH relativeFrom="margin">
              <wp14:pctWidth>0</wp14:pctWidth>
            </wp14:sizeRelH>
            <wp14:sizeRelV relativeFrom="margin">
              <wp14:pctHeight>0</wp14:pctHeight>
            </wp14:sizeRelV>
          </wp:anchor>
        </w:drawing>
      </w:r>
      <w:r w:rsidR="00B56A7B" w:rsidRPr="7F9896B4">
        <w:rPr>
          <w:color w:val="262629"/>
          <w:sz w:val="24"/>
          <w:szCs w:val="24"/>
          <w:shd w:val="clear" w:color="auto" w:fill="FFFFFF"/>
        </w:rPr>
        <w:t>Un’</w:t>
      </w:r>
      <w:r w:rsidR="00B56A7B" w:rsidRPr="7F9896B4">
        <w:rPr>
          <w:b/>
          <w:bCs/>
          <w:color w:val="262629"/>
          <w:sz w:val="24"/>
          <w:szCs w:val="24"/>
          <w:shd w:val="clear" w:color="auto" w:fill="FFFFFF"/>
        </w:rPr>
        <w:t>area geografica</w:t>
      </w:r>
      <w:r w:rsidR="00430785" w:rsidRPr="7F9896B4">
        <w:rPr>
          <w:b/>
          <w:bCs/>
          <w:color w:val="262629"/>
          <w:sz w:val="24"/>
          <w:szCs w:val="24"/>
          <w:shd w:val="clear" w:color="auto" w:fill="FFFFFF"/>
        </w:rPr>
        <w:t xml:space="preserve"> </w:t>
      </w:r>
      <w:r w:rsidR="008D7D96" w:rsidRPr="7F9896B4">
        <w:rPr>
          <w:color w:val="262629"/>
          <w:sz w:val="24"/>
          <w:szCs w:val="24"/>
          <w:shd w:val="clear" w:color="auto" w:fill="FFFFFF"/>
        </w:rPr>
        <w:t>(Giappone)</w:t>
      </w:r>
    </w:p>
    <w:p w14:paraId="4651FEFA" w14:textId="1597C264" w:rsidR="00B56A7B" w:rsidRPr="00990093" w:rsidRDefault="00B56A7B" w:rsidP="7F9896B4">
      <w:pPr>
        <w:pStyle w:val="Paragrafoelenco"/>
        <w:numPr>
          <w:ilvl w:val="0"/>
          <w:numId w:val="19"/>
        </w:numPr>
        <w:spacing w:after="0" w:line="480" w:lineRule="auto"/>
        <w:rPr>
          <w:b/>
          <w:bCs/>
          <w:color w:val="262629"/>
          <w:sz w:val="24"/>
          <w:szCs w:val="24"/>
          <w:shd w:val="clear" w:color="auto" w:fill="FFFFFF"/>
        </w:rPr>
      </w:pPr>
      <w:r w:rsidRPr="7F9896B4">
        <w:rPr>
          <w:color w:val="262629"/>
          <w:sz w:val="24"/>
          <w:szCs w:val="24"/>
          <w:shd w:val="clear" w:color="auto" w:fill="FFFFFF"/>
        </w:rPr>
        <w:t xml:space="preserve">Un </w:t>
      </w:r>
      <w:r w:rsidRPr="7F9896B4">
        <w:rPr>
          <w:b/>
          <w:bCs/>
          <w:color w:val="262629"/>
          <w:sz w:val="24"/>
          <w:szCs w:val="24"/>
          <w:shd w:val="clear" w:color="auto" w:fill="FFFFFF"/>
        </w:rPr>
        <w:t>settore</w:t>
      </w:r>
      <w:r w:rsidR="008D7D96" w:rsidRPr="7F9896B4">
        <w:rPr>
          <w:color w:val="262629"/>
          <w:sz w:val="24"/>
          <w:szCs w:val="24"/>
          <w:shd w:val="clear" w:color="auto" w:fill="FFFFFF"/>
        </w:rPr>
        <w:t xml:space="preserve"> (</w:t>
      </w:r>
      <w:r w:rsidR="00C83DD0" w:rsidRPr="7F9896B4">
        <w:rPr>
          <w:color w:val="262629"/>
          <w:sz w:val="24"/>
          <w:szCs w:val="24"/>
          <w:shd w:val="clear" w:color="auto" w:fill="FFFFFF"/>
        </w:rPr>
        <w:t xml:space="preserve">ad esempio </w:t>
      </w:r>
      <w:r w:rsidR="00DB0530">
        <w:rPr>
          <w:color w:val="262629"/>
          <w:sz w:val="24"/>
          <w:szCs w:val="24"/>
          <w:shd w:val="clear" w:color="auto" w:fill="FFFFFF"/>
        </w:rPr>
        <w:t>il settore</w:t>
      </w:r>
      <w:r w:rsidR="00C83DD0" w:rsidRPr="7F9896B4">
        <w:rPr>
          <w:color w:val="262629"/>
          <w:sz w:val="24"/>
          <w:szCs w:val="24"/>
          <w:shd w:val="clear" w:color="auto" w:fill="FFFFFF"/>
        </w:rPr>
        <w:t xml:space="preserve"> </w:t>
      </w:r>
      <w:r w:rsidR="00990093" w:rsidRPr="7F9896B4">
        <w:rPr>
          <w:color w:val="262629"/>
          <w:sz w:val="24"/>
          <w:szCs w:val="24"/>
          <w:shd w:val="clear" w:color="auto" w:fill="FFFFFF"/>
        </w:rPr>
        <w:t>energetico o immobiliare)</w:t>
      </w:r>
    </w:p>
    <w:p w14:paraId="29BD9036" w14:textId="00E780F5" w:rsidR="008F360D" w:rsidRDefault="00BC0885" w:rsidP="002D1C73">
      <w:pPr>
        <w:spacing w:before="240" w:after="0" w:line="276" w:lineRule="auto"/>
        <w:rPr>
          <w:color w:val="262629"/>
          <w:sz w:val="24"/>
          <w:szCs w:val="24"/>
          <w:shd w:val="clear" w:color="auto" w:fill="FFFFFF"/>
        </w:rPr>
      </w:pPr>
      <w:r w:rsidRPr="575BAD95">
        <w:rPr>
          <w:color w:val="262629"/>
          <w:sz w:val="24"/>
          <w:szCs w:val="24"/>
          <w:shd w:val="clear" w:color="auto" w:fill="FFFFFF"/>
        </w:rPr>
        <w:t>Se mediamente il prezzo delle azioni di queste società aumenta, allora aumenterà anche il valore</w:t>
      </w:r>
      <w:r w:rsidR="00187989" w:rsidRPr="575BAD95">
        <w:rPr>
          <w:color w:val="262629"/>
          <w:sz w:val="24"/>
          <w:szCs w:val="24"/>
          <w:shd w:val="clear" w:color="auto" w:fill="FFFFFF"/>
        </w:rPr>
        <w:t xml:space="preserve"> </w:t>
      </w:r>
      <w:r w:rsidR="00741405" w:rsidRPr="575BAD95">
        <w:rPr>
          <w:color w:val="262629"/>
          <w:sz w:val="24"/>
          <w:szCs w:val="24"/>
          <w:shd w:val="clear" w:color="auto" w:fill="FFFFFF"/>
        </w:rPr>
        <w:t>dell’indice e viceversa.</w:t>
      </w:r>
    </w:p>
    <w:p w14:paraId="7E6BB541" w14:textId="77777777" w:rsidR="00F13E4A" w:rsidRDefault="00F13E4A" w:rsidP="00F13E4A">
      <w:pPr>
        <w:pStyle w:val="Paragrafoelenco"/>
        <w:spacing w:before="240" w:after="0" w:line="276" w:lineRule="auto"/>
        <w:ind w:left="357"/>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22E01E92" w14:textId="77777777" w:rsidR="00F13E4A" w:rsidRDefault="00F13E4A" w:rsidP="00F13E4A">
      <w:pPr>
        <w:pStyle w:val="Paragrafoelenco"/>
        <w:spacing w:before="240" w:after="0" w:line="276" w:lineRule="auto"/>
        <w:ind w:left="357"/>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3B4B0F78" w14:textId="051572C2" w:rsidR="00BC0FB9" w:rsidRPr="00BC3830" w:rsidRDefault="00A520C2" w:rsidP="00227135">
      <w:pPr>
        <w:pStyle w:val="Paragrafoelenco"/>
        <w:numPr>
          <w:ilvl w:val="0"/>
          <w:numId w:val="28"/>
        </w:numPr>
        <w:spacing w:before="240" w:after="0" w:line="276" w:lineRule="auto"/>
        <w:ind w:left="357" w:hanging="357"/>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BC3830">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lastRenderedPageBreak/>
        <w:t xml:space="preserve">Il primo indice </w:t>
      </w:r>
      <w:r w:rsidR="0002007E" w:rsidRPr="00BC3830">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t>azionario</w:t>
      </w:r>
    </w:p>
    <w:p w14:paraId="20B71E52" w14:textId="05AD11FB" w:rsidR="0002007E" w:rsidRPr="0093010D" w:rsidRDefault="00C36B6F" w:rsidP="7F9896B4">
      <w:pPr>
        <w:spacing w:before="240" w:after="0" w:line="276" w:lineRule="auto"/>
        <w:rPr>
          <w:color w:val="333333"/>
          <w:sz w:val="24"/>
          <w:szCs w:val="24"/>
          <w:shd w:val="clear" w:color="auto" w:fill="FFFFFF"/>
        </w:rPr>
      </w:pPr>
      <w:r w:rsidRPr="6E8BED70">
        <w:rPr>
          <w:color w:val="333333"/>
          <w:sz w:val="24"/>
          <w:szCs w:val="24"/>
          <w:shd w:val="clear" w:color="auto" w:fill="FFFFFF"/>
        </w:rPr>
        <w:t xml:space="preserve">Il primo indice del mercato azionario apparve nel luglio 1884, quando </w:t>
      </w:r>
      <w:r w:rsidRPr="7F9896B4">
        <w:rPr>
          <w:b/>
          <w:bCs/>
          <w:color w:val="333333"/>
          <w:sz w:val="24"/>
          <w:szCs w:val="24"/>
          <w:shd w:val="clear" w:color="auto" w:fill="FFFFFF"/>
        </w:rPr>
        <w:t xml:space="preserve">Charles </w:t>
      </w:r>
      <w:commentRangeStart w:id="1"/>
      <w:r w:rsidRPr="7F9896B4">
        <w:rPr>
          <w:b/>
          <w:bCs/>
          <w:color w:val="333333"/>
          <w:sz w:val="24"/>
          <w:szCs w:val="24"/>
          <w:shd w:val="clear" w:color="auto" w:fill="FFFFFF"/>
        </w:rPr>
        <w:t>Dow</w:t>
      </w:r>
      <w:commentRangeEnd w:id="1"/>
      <w:r w:rsidR="002E4450" w:rsidRPr="00D1677E">
        <w:rPr>
          <w:rStyle w:val="Rimandocommento"/>
          <w:b/>
          <w:bCs/>
        </w:rPr>
        <w:commentReference w:id="1"/>
      </w:r>
      <w:r w:rsidRPr="6E8BED70">
        <w:rPr>
          <w:color w:val="333333"/>
          <w:sz w:val="24"/>
          <w:szCs w:val="24"/>
          <w:shd w:val="clear" w:color="auto" w:fill="FFFFFF"/>
        </w:rPr>
        <w:t>, un giornalista statunitense, pubblicò il “</w:t>
      </w:r>
      <w:r w:rsidRPr="7F9896B4">
        <w:rPr>
          <w:b/>
          <w:bCs/>
          <w:i/>
          <w:iCs/>
          <w:color w:val="333333"/>
          <w:sz w:val="24"/>
          <w:szCs w:val="24"/>
          <w:shd w:val="clear" w:color="auto" w:fill="FFFFFF"/>
        </w:rPr>
        <w:t xml:space="preserve">Dow Jones </w:t>
      </w:r>
      <w:proofErr w:type="spellStart"/>
      <w:r w:rsidRPr="7F9896B4">
        <w:rPr>
          <w:b/>
          <w:bCs/>
          <w:i/>
          <w:iCs/>
          <w:color w:val="333333"/>
          <w:sz w:val="24"/>
          <w:szCs w:val="24"/>
          <w:shd w:val="clear" w:color="auto" w:fill="FFFFFF"/>
        </w:rPr>
        <w:t>Transportation</w:t>
      </w:r>
      <w:proofErr w:type="spellEnd"/>
      <w:r w:rsidRPr="7F9896B4">
        <w:rPr>
          <w:b/>
          <w:bCs/>
          <w:i/>
          <w:iCs/>
          <w:color w:val="333333"/>
          <w:sz w:val="24"/>
          <w:szCs w:val="24"/>
          <w:shd w:val="clear" w:color="auto" w:fill="FFFFFF"/>
        </w:rPr>
        <w:t xml:space="preserve"> Index</w:t>
      </w:r>
      <w:r w:rsidRPr="6E8BED70">
        <w:rPr>
          <w:color w:val="333333"/>
          <w:sz w:val="24"/>
          <w:szCs w:val="24"/>
          <w:shd w:val="clear" w:color="auto" w:fill="FFFFFF"/>
        </w:rPr>
        <w:t xml:space="preserve">”. L’indice comprendeva </w:t>
      </w:r>
      <w:proofErr w:type="gramStart"/>
      <w:r w:rsidRPr="6E8BED70">
        <w:rPr>
          <w:color w:val="333333"/>
          <w:sz w:val="24"/>
          <w:szCs w:val="24"/>
          <w:shd w:val="clear" w:color="auto" w:fill="FFFFFF"/>
        </w:rPr>
        <w:t>11</w:t>
      </w:r>
      <w:proofErr w:type="gramEnd"/>
      <w:r w:rsidRPr="6E8BED70">
        <w:rPr>
          <w:color w:val="333333"/>
          <w:sz w:val="24"/>
          <w:szCs w:val="24"/>
          <w:shd w:val="clear" w:color="auto" w:fill="FFFFFF"/>
        </w:rPr>
        <w:t xml:space="preserve"> azioni legate al settore dei trasporti: nove società ferroviarie, una società di navigazione a vapore e un operatore telegrafico.</w:t>
      </w:r>
    </w:p>
    <w:p w14:paraId="5E6EC60C" w14:textId="05A78DAD" w:rsidR="00C36B6F" w:rsidRPr="0093010D" w:rsidRDefault="0093010D" w:rsidP="7F9896B4">
      <w:pPr>
        <w:spacing w:after="0" w:line="276" w:lineRule="auto"/>
        <w:rPr>
          <w:color w:val="333333"/>
          <w:sz w:val="24"/>
          <w:szCs w:val="24"/>
          <w:shd w:val="clear" w:color="auto" w:fill="FFFFFF"/>
        </w:rPr>
      </w:pPr>
      <w:r w:rsidRPr="7F9896B4">
        <w:rPr>
          <w:color w:val="333333"/>
          <w:sz w:val="24"/>
          <w:szCs w:val="24"/>
          <w:shd w:val="clear" w:color="auto" w:fill="FFFFFF"/>
        </w:rPr>
        <w:t>La media dell’indice veniva calcolata sommando i prezzi di tutte le azioni che lo componevano e dividendo il totale per 11.</w:t>
      </w:r>
    </w:p>
    <w:p w14:paraId="4EE752CE" w14:textId="27DE2F82" w:rsidR="0093010D" w:rsidRDefault="0093010D" w:rsidP="7F9896B4">
      <w:pPr>
        <w:spacing w:before="240" w:after="0" w:line="276" w:lineRule="auto"/>
        <w:rPr>
          <w:color w:val="333333"/>
          <w:sz w:val="24"/>
          <w:szCs w:val="24"/>
          <w:shd w:val="clear" w:color="auto" w:fill="FFFFFF"/>
        </w:rPr>
      </w:pPr>
      <w:r w:rsidRPr="575BAD95">
        <w:rPr>
          <w:color w:val="333333"/>
          <w:sz w:val="24"/>
          <w:szCs w:val="24"/>
          <w:shd w:val="clear" w:color="auto" w:fill="FFFFFF"/>
        </w:rPr>
        <w:t xml:space="preserve">Nel 1896, Dow pubblicò un altro indice, composto da 12 società industriali. Fu quello l’inizio del </w:t>
      </w:r>
      <w:r w:rsidRPr="7F9896B4">
        <w:rPr>
          <w:b/>
          <w:bCs/>
          <w:i/>
          <w:iCs/>
          <w:color w:val="333333"/>
          <w:sz w:val="24"/>
          <w:szCs w:val="24"/>
          <w:shd w:val="clear" w:color="auto" w:fill="FFFFFF"/>
        </w:rPr>
        <w:t xml:space="preserve">Dow Jones Industrial Average, </w:t>
      </w:r>
      <w:r w:rsidRPr="575BAD95">
        <w:rPr>
          <w:color w:val="333333"/>
          <w:sz w:val="24"/>
          <w:szCs w:val="24"/>
          <w:shd w:val="clear" w:color="auto" w:fill="FFFFFF"/>
        </w:rPr>
        <w:t>l’indice di Wall Street oggi universalmente noto come Dow Jones.</w:t>
      </w:r>
    </w:p>
    <w:p w14:paraId="5BB37EC3" w14:textId="2DD9F37C" w:rsidR="00733306" w:rsidRPr="00BC3830" w:rsidRDefault="00147114" w:rsidP="00702D93">
      <w:pPr>
        <w:pStyle w:val="Paragrafoelenco"/>
        <w:numPr>
          <w:ilvl w:val="0"/>
          <w:numId w:val="28"/>
        </w:numPr>
        <w:spacing w:before="240" w:after="0" w:line="276" w:lineRule="auto"/>
        <w:ind w:left="357" w:hanging="357"/>
        <w:rPr>
          <w:b/>
          <w:color w:val="00B0F0"/>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BC3830">
        <w:rPr>
          <w:rFonts w:cstheme="minorHAnsi"/>
          <w:b/>
          <w:color w:val="00B0F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Come si costruisce un indice azionario?</w:t>
      </w:r>
    </w:p>
    <w:p w14:paraId="55EEA6A5" w14:textId="020C9226" w:rsidR="00733306" w:rsidRPr="00382AC9" w:rsidRDefault="00015228" w:rsidP="7F9896B4">
      <w:pPr>
        <w:spacing w:before="240" w:after="0" w:line="276" w:lineRule="auto"/>
        <w:rPr>
          <w:sz w:val="24"/>
          <w:szCs w:val="24"/>
          <w:shd w:val="clear" w:color="auto" w:fill="FFFFFF"/>
        </w:rPr>
      </w:pPr>
      <w:r w:rsidRPr="575BAD95">
        <w:rPr>
          <w:sz w:val="24"/>
          <w:szCs w:val="24"/>
          <w:shd w:val="clear" w:color="auto" w:fill="FFFFFF"/>
        </w:rPr>
        <w:t xml:space="preserve">Negli indici che si concentrano sull’andamento di un’ampia fetta del mercato entrano di solito le più grandi aziende quotate, dove la dimensione che conta è in genere </w:t>
      </w:r>
      <w:r w:rsidRPr="575BAD95">
        <w:rPr>
          <w:b/>
          <w:bCs/>
          <w:sz w:val="24"/>
          <w:szCs w:val="24"/>
          <w:shd w:val="clear" w:color="auto" w:fill="FFFFFF"/>
        </w:rPr>
        <w:t>la capitalizzazione di mercato</w:t>
      </w:r>
      <w:r w:rsidRPr="575BAD95">
        <w:rPr>
          <w:sz w:val="24"/>
          <w:szCs w:val="24"/>
          <w:shd w:val="clear" w:color="auto" w:fill="FFFFFF"/>
        </w:rPr>
        <w:t>, cioè il valore totale di tutte le azioni di un’azienda quotata.</w:t>
      </w:r>
    </w:p>
    <w:p w14:paraId="70BE8980" w14:textId="2190D814" w:rsidR="00015228" w:rsidRPr="00382AC9" w:rsidRDefault="00015228" w:rsidP="7F9896B4">
      <w:pPr>
        <w:spacing w:after="0" w:line="276" w:lineRule="auto"/>
        <w:rPr>
          <w:sz w:val="24"/>
          <w:szCs w:val="24"/>
          <w:shd w:val="clear" w:color="auto" w:fill="FFFFFF"/>
        </w:rPr>
      </w:pPr>
      <w:r w:rsidRPr="575BAD95">
        <w:rPr>
          <w:sz w:val="24"/>
          <w:szCs w:val="24"/>
          <w:shd w:val="clear" w:color="auto" w:fill="FFFFFF"/>
        </w:rPr>
        <w:t xml:space="preserve">In alternativa, in un indice possono entrare azioni scelte da un </w:t>
      </w:r>
      <w:r w:rsidRPr="575BAD95">
        <w:rPr>
          <w:b/>
          <w:bCs/>
          <w:sz w:val="24"/>
          <w:szCs w:val="24"/>
          <w:shd w:val="clear" w:color="auto" w:fill="FFFFFF"/>
        </w:rPr>
        <w:t>comitato</w:t>
      </w:r>
      <w:r w:rsidRPr="575BAD95">
        <w:rPr>
          <w:sz w:val="24"/>
          <w:szCs w:val="24"/>
          <w:shd w:val="clear" w:color="auto" w:fill="FFFFFF"/>
        </w:rPr>
        <w:t xml:space="preserve"> (per esempio lo S&amp;P 500</w:t>
      </w:r>
      <w:r w:rsidR="0066783B" w:rsidRPr="575BAD95">
        <w:rPr>
          <w:sz w:val="24"/>
          <w:szCs w:val="24"/>
          <w:shd w:val="clear" w:color="auto" w:fill="FFFFFF"/>
        </w:rPr>
        <w:t xml:space="preserve"> degli Stati Uniti d’America)</w:t>
      </w:r>
      <w:r w:rsidRPr="575BAD95">
        <w:rPr>
          <w:sz w:val="24"/>
          <w:szCs w:val="24"/>
          <w:shd w:val="clear" w:color="auto" w:fill="FFFFFF"/>
        </w:rPr>
        <w:t xml:space="preserve"> o tutte le azioni che vengono negoziate in una particolare </w:t>
      </w:r>
      <w:r w:rsidR="008644E2">
        <w:rPr>
          <w:sz w:val="24"/>
          <w:szCs w:val="24"/>
          <w:shd w:val="clear" w:color="auto" w:fill="FFFFFF"/>
        </w:rPr>
        <w:t>B</w:t>
      </w:r>
      <w:r w:rsidRPr="575BAD95">
        <w:rPr>
          <w:sz w:val="24"/>
          <w:szCs w:val="24"/>
          <w:shd w:val="clear" w:color="auto" w:fill="FFFFFF"/>
        </w:rPr>
        <w:t xml:space="preserve">orsa. Alcuni indici si concentrano su società che operano </w:t>
      </w:r>
      <w:r w:rsidRPr="575BAD95">
        <w:rPr>
          <w:b/>
          <w:bCs/>
          <w:sz w:val="24"/>
          <w:szCs w:val="24"/>
          <w:shd w:val="clear" w:color="auto" w:fill="FFFFFF"/>
        </w:rPr>
        <w:t>all’interno dello stesso settore</w:t>
      </w:r>
      <w:r w:rsidRPr="575BAD95">
        <w:rPr>
          <w:sz w:val="24"/>
          <w:szCs w:val="24"/>
          <w:shd w:val="clear" w:color="auto" w:fill="FFFFFF"/>
        </w:rPr>
        <w:t>, come ad esempio quello tecnologico o della sanità.</w:t>
      </w:r>
    </w:p>
    <w:p w14:paraId="17B34D03" w14:textId="5FF32538" w:rsidR="00015228" w:rsidRPr="00382AC9" w:rsidRDefault="00015228" w:rsidP="7F9896B4">
      <w:pPr>
        <w:spacing w:after="0" w:line="276" w:lineRule="auto"/>
        <w:rPr>
          <w:sz w:val="24"/>
          <w:szCs w:val="24"/>
          <w:shd w:val="clear" w:color="auto" w:fill="FFFFFF"/>
        </w:rPr>
      </w:pPr>
      <w:r w:rsidRPr="575BAD95">
        <w:rPr>
          <w:sz w:val="24"/>
          <w:szCs w:val="24"/>
          <w:shd w:val="clear" w:color="auto" w:fill="FFFFFF"/>
        </w:rPr>
        <w:t>Una volta scelte le società che faranno parte dell’indice, bisogna decidere come vengono rappresentate: questo valore prende il nome di “</w:t>
      </w:r>
      <w:r w:rsidRPr="575BAD95">
        <w:rPr>
          <w:b/>
          <w:bCs/>
          <w:sz w:val="24"/>
          <w:szCs w:val="24"/>
          <w:shd w:val="clear" w:color="auto" w:fill="FFFFFF"/>
        </w:rPr>
        <w:t>ponderazione</w:t>
      </w:r>
      <w:r w:rsidRPr="575BAD95">
        <w:rPr>
          <w:sz w:val="24"/>
          <w:szCs w:val="24"/>
          <w:shd w:val="clear" w:color="auto" w:fill="FFFFFF"/>
        </w:rPr>
        <w:t>”. Le azioni dell’indice possono avere tutte lo stesso peso, oppure avere peso relativo maggiore o minore a seconda di fattori come la capitalizzazione o il prezzo.</w:t>
      </w:r>
    </w:p>
    <w:p w14:paraId="3DAFD713" w14:textId="2EF102EE" w:rsidR="00015228" w:rsidRPr="00382AC9" w:rsidRDefault="00015228" w:rsidP="7F9896B4">
      <w:pPr>
        <w:spacing w:after="0" w:line="276" w:lineRule="auto"/>
        <w:rPr>
          <w:sz w:val="24"/>
          <w:szCs w:val="24"/>
          <w:shd w:val="clear" w:color="auto" w:fill="FFFFFF"/>
        </w:rPr>
      </w:pPr>
      <w:r w:rsidRPr="575BAD95">
        <w:rPr>
          <w:sz w:val="24"/>
          <w:szCs w:val="24"/>
          <w:shd w:val="clear" w:color="auto" w:fill="FFFFFF"/>
        </w:rPr>
        <w:t>In base alla ponderazione attribuita, le società che fanno parte dell’indice possono avere pari peso sul suo andamento, oppure il loro impatto può basarsi a sua volta su considerazioni quali la capitalizzazione</w:t>
      </w:r>
      <w:r w:rsidR="00BC3830" w:rsidRPr="575BAD95">
        <w:rPr>
          <w:sz w:val="24"/>
          <w:szCs w:val="24"/>
          <w:shd w:val="clear" w:color="auto" w:fill="FFFFFF"/>
        </w:rPr>
        <w:t xml:space="preserve"> </w:t>
      </w:r>
      <w:r w:rsidRPr="575BAD95">
        <w:rPr>
          <w:sz w:val="24"/>
          <w:szCs w:val="24"/>
          <w:shd w:val="clear" w:color="auto" w:fill="FFFFFF"/>
        </w:rPr>
        <w:t>di mercato o il valore delle quote azionarie.</w:t>
      </w:r>
    </w:p>
    <w:p w14:paraId="4343A023" w14:textId="758FF546" w:rsidR="00015228" w:rsidRPr="00382AC9" w:rsidRDefault="000F4DAC" w:rsidP="7F9896B4">
      <w:pPr>
        <w:spacing w:after="0" w:line="276" w:lineRule="auto"/>
        <w:rPr>
          <w:sz w:val="24"/>
          <w:szCs w:val="24"/>
          <w:shd w:val="clear" w:color="auto" w:fill="FFFFFF"/>
        </w:rPr>
      </w:pPr>
      <w:r w:rsidRPr="575BAD95">
        <w:rPr>
          <w:sz w:val="24"/>
          <w:szCs w:val="24"/>
          <w:shd w:val="clear" w:color="auto" w:fill="FFFFFF"/>
        </w:rPr>
        <w:t>I tre metodi di ponderazione degli indici più comunemente usati sono:</w:t>
      </w:r>
    </w:p>
    <w:p w14:paraId="4DC056D6" w14:textId="6930A656" w:rsidR="000F4DAC" w:rsidRPr="008E6E78" w:rsidRDefault="008E6E78" w:rsidP="00A67BD3">
      <w:pPr>
        <w:pStyle w:val="Paragrafoelenco"/>
        <w:numPr>
          <w:ilvl w:val="0"/>
          <w:numId w:val="24"/>
        </w:numPr>
        <w:spacing w:before="240" w:after="0" w:line="276" w:lineRule="auto"/>
        <w:ind w:hanging="720"/>
        <w:rPr>
          <w:b/>
          <w:bCs/>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575BAD95">
        <w:rPr>
          <w:color w:val="333333"/>
          <w:sz w:val="24"/>
          <w:szCs w:val="24"/>
          <w:u w:val="single"/>
          <w:shd w:val="clear" w:color="auto" w:fill="FFFFFF"/>
        </w:rPr>
        <w:t>Ponderazione in base alla capitalizzazione di mercato</w:t>
      </w:r>
      <w:r w:rsidR="00382AC9" w:rsidRPr="575BAD95">
        <w:rPr>
          <w:sz w:val="24"/>
          <w:szCs w:val="24"/>
          <w14:textOutline w14:w="0" w14:cap="flat" w14:cmpd="sng" w14:algn="ctr">
            <w14:noFill/>
            <w14:prstDash w14:val="solid"/>
            <w14:round/>
          </w14:textOutline>
          <w14:props3d w14:extrusionH="57150" w14:contourW="0" w14:prstMaterial="softEdge">
            <w14:bevelT w14:w="25400" w14:h="38100" w14:prst="circle"/>
          </w14:props3d>
        </w:rPr>
        <w:t xml:space="preserve">: </w:t>
      </w:r>
      <w:r w:rsidR="00382AC9" w:rsidRPr="575BAD95">
        <w:rPr>
          <w:sz w:val="24"/>
          <w:szCs w:val="24"/>
          <w:shd w:val="clear" w:color="auto" w:fill="FFFFFF"/>
        </w:rPr>
        <w:t>l’indice attribuisce peso maggiore alle azioni con la capitalizzazione di mercato maggiore. Di conseguenza più è grande la capitalizzazione di una società (che si ottiene moltiplicando il numero di tutte le azioni circolanti per la loro quotazione in un momento dato), maggiore è l’impatto che essa ha sull’andamento di un indice;</w:t>
      </w:r>
    </w:p>
    <w:p w14:paraId="0FEA8B94" w14:textId="75A30CA2" w:rsidR="00382AC9" w:rsidRPr="008E6E78" w:rsidRDefault="008E6E78" w:rsidP="00A67BD3">
      <w:pPr>
        <w:pStyle w:val="Paragrafoelenco"/>
        <w:numPr>
          <w:ilvl w:val="0"/>
          <w:numId w:val="24"/>
        </w:numPr>
        <w:spacing w:before="240" w:after="0" w:line="276" w:lineRule="auto"/>
        <w:ind w:hanging="720"/>
        <w:rPr>
          <w:b/>
          <w:bCs/>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575BAD95">
        <w:rPr>
          <w:color w:val="333333"/>
          <w:sz w:val="24"/>
          <w:szCs w:val="24"/>
          <w:u w:val="single"/>
          <w:shd w:val="clear" w:color="auto" w:fill="FFFFFF"/>
        </w:rPr>
        <w:t>Ponderazione egualitaria</w:t>
      </w:r>
      <w:r w:rsidR="0029153A" w:rsidRPr="575BAD95">
        <w:rPr>
          <w:sz w:val="24"/>
          <w:szCs w:val="24"/>
          <w14:textOutline w14:w="0" w14:cap="flat" w14:cmpd="sng" w14:algn="ctr">
            <w14:noFill/>
            <w14:prstDash w14:val="solid"/>
            <w14:round/>
          </w14:textOutline>
          <w14:props3d w14:extrusionH="57150" w14:contourW="0" w14:prstMaterial="softEdge">
            <w14:bevelT w14:w="25400" w14:h="38100" w14:prst="circle"/>
          </w14:props3d>
        </w:rPr>
        <w:t>:</w:t>
      </w:r>
      <w:r w:rsidR="00446C58" w:rsidRPr="575BAD95">
        <w:rPr>
          <w:sz w:val="24"/>
          <w:szCs w:val="24"/>
          <w14:textOutline w14:w="0" w14:cap="flat" w14:cmpd="sng" w14:algn="ctr">
            <w14:noFill/>
            <w14:prstDash w14:val="solid"/>
            <w14:round/>
          </w14:textOutline>
          <w14:props3d w14:extrusionH="57150" w14:contourW="0" w14:prstMaterial="softEdge">
            <w14:bevelT w14:w="25400" w14:h="38100" w14:prst="circle"/>
          </w14:props3d>
        </w:rPr>
        <w:t xml:space="preserve"> </w:t>
      </w:r>
      <w:r w:rsidR="00446C58" w:rsidRPr="575BAD95">
        <w:rPr>
          <w:color w:val="333333"/>
          <w:sz w:val="24"/>
          <w:szCs w:val="24"/>
          <w:shd w:val="clear" w:color="auto" w:fill="FFFFFF"/>
        </w:rPr>
        <w:t>un indice costruito su questa base tratta tutti i partecipanti allo stesso modo. L’andamento di ciascun titolo influenza l’indice in egual modo, a prescindere dalle dimensioni;</w:t>
      </w:r>
    </w:p>
    <w:p w14:paraId="45EC7AFB" w14:textId="2E86CC7C" w:rsidR="00B01924" w:rsidRPr="002F1394" w:rsidRDefault="00446C58" w:rsidP="00A67BD3">
      <w:pPr>
        <w:pStyle w:val="Paragrafoelenco"/>
        <w:numPr>
          <w:ilvl w:val="0"/>
          <w:numId w:val="24"/>
        </w:numPr>
        <w:spacing w:before="240" w:after="0" w:line="276" w:lineRule="auto"/>
        <w:ind w:hanging="720"/>
        <w:rPr>
          <w:b/>
          <w:bCs/>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575BAD95">
        <w:rPr>
          <w:color w:val="333333"/>
          <w:sz w:val="24"/>
          <w:szCs w:val="24"/>
          <w:u w:val="single"/>
          <w:shd w:val="clear" w:color="auto" w:fill="FFFFFF"/>
        </w:rPr>
        <w:lastRenderedPageBreak/>
        <w:t>Ponderazione basata sul prezzo</w:t>
      </w:r>
      <w:r w:rsidRPr="575BAD95">
        <w:rPr>
          <w:color w:val="333333"/>
          <w:sz w:val="24"/>
          <w:szCs w:val="24"/>
          <w:shd w:val="clear" w:color="auto" w:fill="FFFFFF"/>
        </w:rPr>
        <w:t xml:space="preserve">: </w:t>
      </w:r>
      <w:r w:rsidR="008E6E78" w:rsidRPr="575BAD95">
        <w:rPr>
          <w:color w:val="333333"/>
          <w:sz w:val="24"/>
          <w:szCs w:val="24"/>
          <w:shd w:val="clear" w:color="auto" w:fill="FFFFFF"/>
        </w:rPr>
        <w:t>questo tipo di indice attribuisce maggior peso ai titoli con le quotazioni più elevate, a prescindere, anche in questo caso, dalle dimensioni.</w:t>
      </w:r>
    </w:p>
    <w:p w14:paraId="528F0F88" w14:textId="77777777" w:rsidR="007542D4" w:rsidRPr="007542D4" w:rsidRDefault="007542D4" w:rsidP="007542D4">
      <w:pPr>
        <w:pStyle w:val="Paragrafoelenco"/>
        <w:spacing w:before="240" w:after="0" w:line="276" w:lineRule="auto"/>
        <w:ind w:left="357"/>
        <w:rPr>
          <w:b/>
          <w:bCs/>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42E81CC7" w14:textId="356B9A06" w:rsidR="007C1DB1" w:rsidRPr="00D35ED3" w:rsidRDefault="00D35ED3" w:rsidP="00D35ED3">
      <w:pPr>
        <w:pStyle w:val="Paragrafoelenco"/>
        <w:numPr>
          <w:ilvl w:val="0"/>
          <w:numId w:val="42"/>
        </w:numPr>
        <w:spacing w:before="240" w:after="0" w:line="276" w:lineRule="auto"/>
        <w:ind w:left="357" w:hanging="357"/>
        <w:rPr>
          <w:b/>
          <w:bCs/>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151E6F">
        <w:rPr>
          <w:rFonts w:cstheme="minorHAnsi"/>
          <w:b/>
          <w:color w:val="00B0F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 xml:space="preserve">Importanza degli indici di </w:t>
      </w:r>
      <w:r w:rsidR="008644E2">
        <w:rPr>
          <w:rFonts w:cstheme="minorHAnsi"/>
          <w:b/>
          <w:color w:val="00B0F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b</w:t>
      </w:r>
      <w:r w:rsidRPr="00151E6F">
        <w:rPr>
          <w:rFonts w:cstheme="minorHAnsi"/>
          <w:b/>
          <w:color w:val="00B0F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orsa</w:t>
      </w:r>
    </w:p>
    <w:p w14:paraId="5902213C" w14:textId="6F7F9A60" w:rsidR="00D02902" w:rsidRPr="00EA45BA" w:rsidRDefault="00D02902" w:rsidP="7F9896B4">
      <w:pPr>
        <w:spacing w:before="240" w:after="0" w:line="276" w:lineRule="auto"/>
        <w:rPr>
          <w:rFonts w:eastAsia="Times New Roman"/>
          <w:kern w:val="0"/>
          <w:sz w:val="24"/>
          <w:szCs w:val="24"/>
          <w:lang w:eastAsia="it-IT"/>
          <w14:ligatures w14:val="none"/>
        </w:rPr>
      </w:pPr>
      <w:r w:rsidRPr="00DB0530">
        <w:rPr>
          <w:rFonts w:eastAsia="Times New Roman"/>
          <w:b/>
          <w:kern w:val="0"/>
          <w:sz w:val="24"/>
          <w:szCs w:val="24"/>
          <w:lang w:eastAsia="it-IT"/>
          <w14:ligatures w14:val="none"/>
        </w:rPr>
        <w:t xml:space="preserve">Gli indici di </w:t>
      </w:r>
      <w:r w:rsidR="008644E2" w:rsidRPr="00DB0530">
        <w:rPr>
          <w:rFonts w:eastAsia="Times New Roman"/>
          <w:b/>
          <w:kern w:val="0"/>
          <w:sz w:val="24"/>
          <w:szCs w:val="24"/>
          <w:lang w:eastAsia="it-IT"/>
          <w14:ligatures w14:val="none"/>
        </w:rPr>
        <w:t>b</w:t>
      </w:r>
      <w:r w:rsidRPr="00DB0530">
        <w:rPr>
          <w:rFonts w:eastAsia="Times New Roman"/>
          <w:b/>
          <w:kern w:val="0"/>
          <w:sz w:val="24"/>
          <w:szCs w:val="24"/>
          <w:lang w:eastAsia="it-IT"/>
          <w14:ligatures w14:val="none"/>
        </w:rPr>
        <w:t>orsa forniscono a</w:t>
      </w:r>
      <w:r w:rsidR="00152232">
        <w:rPr>
          <w:rFonts w:eastAsia="Times New Roman"/>
          <w:b/>
          <w:kern w:val="0"/>
          <w:sz w:val="24"/>
          <w:szCs w:val="24"/>
          <w:lang w:eastAsia="it-IT"/>
          <w14:ligatures w14:val="none"/>
        </w:rPr>
        <w:t>i</w:t>
      </w:r>
      <w:r w:rsidRPr="00DB0530">
        <w:rPr>
          <w:rFonts w:eastAsia="Times New Roman"/>
          <w:b/>
          <w:kern w:val="0"/>
          <w:sz w:val="24"/>
          <w:szCs w:val="24"/>
          <w:lang w:eastAsia="it-IT"/>
          <w14:ligatures w14:val="none"/>
        </w:rPr>
        <w:t xml:space="preserve"> trader e investitori indicazioni sull’andamento di un mercato, di un’area geografica o di un settore</w:t>
      </w:r>
      <w:r w:rsidRPr="575BAD95">
        <w:rPr>
          <w:rFonts w:eastAsia="Times New Roman"/>
          <w:kern w:val="0"/>
          <w:sz w:val="24"/>
          <w:szCs w:val="24"/>
          <w:lang w:eastAsia="it-IT"/>
          <w14:ligatures w14:val="none"/>
        </w:rPr>
        <w:t>.</w:t>
      </w:r>
    </w:p>
    <w:p w14:paraId="4BA01EB8" w14:textId="17274802" w:rsidR="00D02902" w:rsidRPr="00EA45BA" w:rsidRDefault="00D02902" w:rsidP="7F9896B4">
      <w:pPr>
        <w:spacing w:after="0" w:line="276" w:lineRule="auto"/>
        <w:rPr>
          <w:rFonts w:eastAsia="Times New Roman"/>
          <w:kern w:val="0"/>
          <w:sz w:val="24"/>
          <w:szCs w:val="24"/>
          <w:lang w:eastAsia="it-IT"/>
          <w14:ligatures w14:val="none"/>
        </w:rPr>
      </w:pPr>
      <w:r w:rsidRPr="575BAD95">
        <w:rPr>
          <w:rFonts w:eastAsia="Times New Roman"/>
          <w:kern w:val="0"/>
          <w:sz w:val="24"/>
          <w:szCs w:val="24"/>
          <w:lang w:eastAsia="it-IT"/>
          <w14:ligatures w14:val="none"/>
        </w:rPr>
        <w:t>Ad esempio, l’ASX 200 monitora l’andamento delle 200 maggiori società australiane: se l’indice è in rialzo significa che in media queste società godono di buona salute.</w:t>
      </w:r>
    </w:p>
    <w:p w14:paraId="643FFA63" w14:textId="1D2BCDC5" w:rsidR="00C06F6F" w:rsidRPr="00D02902" w:rsidRDefault="00B01924" w:rsidP="00D02902">
      <w:pPr>
        <w:spacing w:after="0" w:line="276" w:lineRule="auto"/>
        <w:rPr>
          <w:rFonts w:cstheme="minorHAnsi"/>
          <w:color w:val="00B0F0"/>
          <w:sz w:val="24"/>
          <w:szCs w:val="24"/>
          <w:shd w:val="clear" w:color="auto" w:fill="FFFFFF"/>
        </w:rPr>
      </w:pPr>
      <w:r>
        <w:rPr>
          <w:rFonts w:cstheme="minorHAnsi"/>
          <w:bCs/>
          <w:noProof/>
          <w:sz w:val="24"/>
          <w:szCs w:val="24"/>
          <w:lang w:eastAsia="it-IT"/>
          <w14:textOutline w14:w="0" w14:cap="flat" w14:cmpd="sng" w14:algn="ctr">
            <w14:noFill/>
            <w14:prstDash w14:val="solid"/>
            <w14:round/>
          </w14:textOutline>
          <w14:props3d w14:extrusionH="57150" w14:contourW="0" w14:prstMaterial="softEdge">
            <w14:bevelT w14:w="25400" w14:h="38100" w14:prst="circle"/>
          </w14:props3d>
        </w:rPr>
        <w:drawing>
          <wp:anchor distT="0" distB="0" distL="114300" distR="114300" simplePos="0" relativeHeight="251658243" behindDoc="1" locked="0" layoutInCell="1" allowOverlap="1" wp14:anchorId="5775D064" wp14:editId="3E75C7BA">
            <wp:simplePos x="0" y="0"/>
            <wp:positionH relativeFrom="margin">
              <wp:align>center</wp:align>
            </wp:positionH>
            <wp:positionV relativeFrom="paragraph">
              <wp:posOffset>5715</wp:posOffset>
            </wp:positionV>
            <wp:extent cx="5715000" cy="1866900"/>
            <wp:effectExtent l="0" t="0" r="0" b="7620"/>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5000" cy="1866900"/>
                    </a:xfrm>
                    <a:prstGeom prst="rect">
                      <a:avLst/>
                    </a:prstGeom>
                    <a:noFill/>
                  </pic:spPr>
                </pic:pic>
              </a:graphicData>
            </a:graphic>
            <wp14:sizeRelV relativeFrom="margin">
              <wp14:pctHeight>0</wp14:pctHeight>
            </wp14:sizeRelV>
          </wp:anchor>
        </w:drawing>
      </w:r>
      <w:r w:rsidR="00D02902" w:rsidRPr="00D02902">
        <w:rPr>
          <w:rFonts w:ascii="Arial" w:eastAsia="Times New Roman" w:hAnsi="Arial" w:cs="Arial"/>
          <w:color w:val="262629"/>
          <w:kern w:val="0"/>
          <w:sz w:val="24"/>
          <w:szCs w:val="24"/>
          <w:lang w:eastAsia="it-IT"/>
          <w14:ligatures w14:val="none"/>
        </w:rPr>
        <w:br/>
      </w:r>
    </w:p>
    <w:p w14:paraId="22DD1BC5" w14:textId="4D06E92A" w:rsidR="00904108" w:rsidRPr="0093010D" w:rsidRDefault="00904108" w:rsidP="004513DE">
      <w:pPr>
        <w:spacing w:line="276" w:lineRule="auto"/>
        <w:ind w:left="360"/>
        <w:rPr>
          <w:rFonts w:cstheme="minorHAnsi"/>
          <w:bCs/>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03E48F21" w14:textId="77777777" w:rsidR="003E55B0" w:rsidRDefault="003E55B0" w:rsidP="004513DE">
      <w:pPr>
        <w:spacing w:line="276" w:lineRule="auto"/>
        <w:rPr>
          <w:rFonts w:cstheme="minorHAnsi"/>
          <w:color w:val="262629"/>
          <w:sz w:val="24"/>
          <w:szCs w:val="24"/>
          <w:shd w:val="clear" w:color="auto" w:fill="FFFFFF"/>
        </w:rPr>
      </w:pPr>
    </w:p>
    <w:p w14:paraId="1EF706C1" w14:textId="77777777" w:rsidR="003E55B0" w:rsidRDefault="003E55B0" w:rsidP="00324398">
      <w:pPr>
        <w:spacing w:after="0" w:line="480" w:lineRule="auto"/>
        <w:rPr>
          <w:rFonts w:cstheme="minorHAnsi"/>
          <w:color w:val="262629"/>
          <w:sz w:val="24"/>
          <w:szCs w:val="24"/>
          <w:shd w:val="clear" w:color="auto" w:fill="FFFFFF"/>
        </w:rPr>
      </w:pPr>
    </w:p>
    <w:p w14:paraId="122E8971" w14:textId="77777777" w:rsidR="00324398" w:rsidRPr="00B3281D" w:rsidRDefault="00324398" w:rsidP="00334E2F">
      <w:pPr>
        <w:spacing w:before="240" w:after="0" w:line="276" w:lineRule="auto"/>
        <w:rPr>
          <w:rFonts w:cstheme="minorHAnsi"/>
          <w:color w:val="262629"/>
          <w:sz w:val="24"/>
          <w:szCs w:val="24"/>
          <w:shd w:val="clear" w:color="auto" w:fill="FFFFFF"/>
        </w:rPr>
      </w:pPr>
    </w:p>
    <w:p w14:paraId="5840D8A8" w14:textId="77777777" w:rsidR="00EA45BA" w:rsidRPr="00546430" w:rsidRDefault="00B01924" w:rsidP="7F9896B4">
      <w:pPr>
        <w:pStyle w:val="NormaleWeb"/>
        <w:shd w:val="clear" w:color="auto" w:fill="FFFFFF" w:themeFill="background1"/>
        <w:spacing w:before="0" w:beforeAutospacing="0" w:after="0" w:afterAutospacing="0" w:line="276" w:lineRule="auto"/>
        <w:rPr>
          <w:rFonts w:asciiTheme="minorHAnsi" w:hAnsiTheme="minorHAnsi" w:cstheme="minorBidi"/>
          <w:color w:val="262629"/>
        </w:rPr>
      </w:pPr>
      <w:r w:rsidRPr="7F9896B4">
        <w:rPr>
          <w:rFonts w:asciiTheme="minorHAnsi" w:hAnsiTheme="minorHAnsi" w:cstheme="minorBidi"/>
          <w:color w:val="262629"/>
        </w:rPr>
        <w:t>Un rialzo dell’ASX 200 indica agli investitori che il mercato azionario australiano è in crescita, il che molto spesso significa che tutta l’economia australiana è in buone condizioni. Quindi spesso le variazioni di prezzo dei principali indici di borsa aiutano i trader a capire l’andamento generale dell’economia di un determinato paese.</w:t>
      </w:r>
    </w:p>
    <w:p w14:paraId="35C9779A" w14:textId="16BCC37E" w:rsidR="00B64C86" w:rsidRDefault="005474A2" w:rsidP="003316CD">
      <w:pPr>
        <w:pStyle w:val="Paragrafoelenco"/>
        <w:numPr>
          <w:ilvl w:val="0"/>
          <w:numId w:val="26"/>
        </w:numPr>
        <w:spacing w:before="180" w:after="0" w:line="276" w:lineRule="auto"/>
        <w:ind w:left="357" w:hanging="357"/>
        <w:rPr>
          <w:rFonts w:cstheme="minorHAnsi"/>
          <w:color w:val="00B0F0"/>
        </w:rPr>
      </w:pPr>
      <w:r w:rsidRPr="00151E6F">
        <w:rPr>
          <w:rFonts w:cstheme="minorHAnsi"/>
          <w:b/>
          <w:color w:val="00B0F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Principali indici</w:t>
      </w:r>
      <w:r w:rsidR="00EF1072">
        <w:rPr>
          <w:rFonts w:cstheme="minorHAnsi"/>
          <w:color w:val="00B0F0"/>
        </w:rPr>
        <w:t xml:space="preserve"> </w:t>
      </w:r>
      <w:r w:rsidR="00EF1072" w:rsidRPr="0093506B">
        <w:rPr>
          <w:rFonts w:cstheme="minorHAnsi"/>
          <w:b/>
          <w:color w:val="00B0F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borsistici</w:t>
      </w:r>
    </w:p>
    <w:p w14:paraId="216CDBA7" w14:textId="68E72AE1" w:rsidR="00382601" w:rsidRPr="00EF7690" w:rsidRDefault="00EF7690" w:rsidP="002D1C73">
      <w:pPr>
        <w:pStyle w:val="NormaleWeb"/>
        <w:shd w:val="clear" w:color="auto" w:fill="FFFFFF" w:themeFill="background1"/>
        <w:spacing w:before="200" w:beforeAutospacing="0" w:after="0" w:afterAutospacing="0" w:line="276" w:lineRule="auto"/>
        <w:rPr>
          <w:rFonts w:asciiTheme="minorHAnsi" w:hAnsiTheme="minorHAnsi" w:cstheme="minorBidi"/>
          <w:color w:val="00B0F0"/>
        </w:rPr>
      </w:pPr>
      <w:r w:rsidRPr="7F9896B4">
        <w:rPr>
          <w:rFonts w:asciiTheme="minorHAnsi" w:hAnsiTheme="minorHAnsi" w:cstheme="minorBidi"/>
          <w:color w:val="262629"/>
          <w:shd w:val="clear" w:color="auto" w:fill="FFFFFF"/>
        </w:rPr>
        <w:t xml:space="preserve">Nella maggior parte dei </w:t>
      </w:r>
      <w:r w:rsidR="00DB0530">
        <w:rPr>
          <w:rFonts w:asciiTheme="minorHAnsi" w:hAnsiTheme="minorHAnsi" w:cstheme="minorBidi"/>
          <w:color w:val="262629"/>
          <w:shd w:val="clear" w:color="auto" w:fill="FFFFFF"/>
        </w:rPr>
        <w:t>P</w:t>
      </w:r>
      <w:r w:rsidRPr="7F9896B4">
        <w:rPr>
          <w:rFonts w:asciiTheme="minorHAnsi" w:hAnsiTheme="minorHAnsi" w:cstheme="minorBidi"/>
          <w:color w:val="262629"/>
          <w:shd w:val="clear" w:color="auto" w:fill="FFFFFF"/>
        </w:rPr>
        <w:t>aesi esiste un unico indice di borsa principale che rappresenta le maggiori società nazionali.</w:t>
      </w:r>
      <w:r w:rsidR="00382601" w:rsidRPr="7F9896B4">
        <w:rPr>
          <w:rFonts w:asciiTheme="minorHAnsi" w:hAnsiTheme="minorHAnsi" w:cstheme="minorBidi"/>
          <w:color w:val="262629"/>
          <w:shd w:val="clear" w:color="auto" w:fill="FFFFFF"/>
        </w:rPr>
        <w:t xml:space="preserve"> Per esempio:</w:t>
      </w:r>
    </w:p>
    <w:tbl>
      <w:tblPr>
        <w:tblStyle w:val="Tabellagriglia4-colore5"/>
        <w:tblW w:w="0" w:type="auto"/>
        <w:tblLook w:val="04A0" w:firstRow="1" w:lastRow="0" w:firstColumn="1" w:lastColumn="0" w:noHBand="0" w:noVBand="1"/>
      </w:tblPr>
      <w:tblGrid>
        <w:gridCol w:w="4980"/>
        <w:gridCol w:w="4982"/>
      </w:tblGrid>
      <w:tr w:rsidR="00382601" w14:paraId="0245A557" w14:textId="77777777" w:rsidTr="00DC2602">
        <w:trPr>
          <w:cnfStyle w:val="100000000000" w:firstRow="1" w:lastRow="0" w:firstColumn="0" w:lastColumn="0" w:oddVBand="0" w:evenVBand="0" w:oddHBand="0" w:evenHBand="0" w:firstRowFirstColumn="0" w:firstRowLastColumn="0" w:lastRowFirstColumn="0" w:lastRowLastColumn="0"/>
          <w:trHeight w:val="698"/>
        </w:trPr>
        <w:tc>
          <w:tcPr>
            <w:cnfStyle w:val="001000000000" w:firstRow="0" w:lastRow="0" w:firstColumn="1" w:lastColumn="0" w:oddVBand="0" w:evenVBand="0" w:oddHBand="0" w:evenHBand="0" w:firstRowFirstColumn="0" w:firstRowLastColumn="0" w:lastRowFirstColumn="0" w:lastRowLastColumn="0"/>
            <w:tcW w:w="5097" w:type="dxa"/>
            <w:vAlign w:val="bottom"/>
          </w:tcPr>
          <w:p w14:paraId="14DFF5B9" w14:textId="7FBC7FD7" w:rsidR="00382601" w:rsidRPr="00D4741F" w:rsidRDefault="00F534B3" w:rsidP="00DC2602">
            <w:pPr>
              <w:pStyle w:val="NormaleWeb"/>
              <w:spacing w:before="0" w:beforeAutospacing="0" w:after="240" w:afterAutospacing="0"/>
              <w:jc w:val="center"/>
              <w:rPr>
                <w:rFonts w:asciiTheme="minorHAnsi" w:hAnsiTheme="minorHAnsi" w:cstheme="minorHAnsi"/>
                <w:color w:val="auto"/>
                <w:sz w:val="32"/>
                <w:szCs w:val="32"/>
              </w:rPr>
            </w:pPr>
            <w:r w:rsidRPr="00D4741F">
              <w:rPr>
                <w:rFonts w:asciiTheme="minorHAnsi" w:hAnsiTheme="minorHAnsi" w:cstheme="minorHAnsi"/>
                <w:sz w:val="32"/>
                <w:szCs w:val="32"/>
              </w:rPr>
              <w:t>Indici</w:t>
            </w:r>
          </w:p>
        </w:tc>
        <w:tc>
          <w:tcPr>
            <w:tcW w:w="5097" w:type="dxa"/>
            <w:vAlign w:val="bottom"/>
          </w:tcPr>
          <w:p w14:paraId="6EE27F97" w14:textId="4DEB9133" w:rsidR="00382601" w:rsidRPr="00F534B3" w:rsidRDefault="00F534B3" w:rsidP="00DC2602">
            <w:pPr>
              <w:pStyle w:val="NormaleWeb"/>
              <w:spacing w:before="0" w:beforeAutospacing="0" w:after="240" w:afterAutospacing="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D4741F">
              <w:rPr>
                <w:rFonts w:asciiTheme="minorHAnsi" w:hAnsiTheme="minorHAnsi" w:cstheme="minorHAnsi"/>
                <w:sz w:val="32"/>
                <w:szCs w:val="32"/>
              </w:rPr>
              <w:t>Paesi</w:t>
            </w:r>
          </w:p>
        </w:tc>
      </w:tr>
      <w:tr w:rsidR="00F534B3" w14:paraId="46A0226F" w14:textId="77777777" w:rsidTr="00DC26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7" w:type="dxa"/>
            <w:vAlign w:val="center"/>
          </w:tcPr>
          <w:p w14:paraId="209F9247" w14:textId="561726C4" w:rsidR="00F534B3"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t>FTSE 1000</w:t>
            </w:r>
          </w:p>
        </w:tc>
        <w:tc>
          <w:tcPr>
            <w:tcW w:w="5097" w:type="dxa"/>
            <w:vAlign w:val="center"/>
          </w:tcPr>
          <w:p w14:paraId="24BB75BA" w14:textId="4D69E0FF" w:rsidR="00F534B3" w:rsidRPr="00F534B3" w:rsidRDefault="00F534B3" w:rsidP="00DC2602">
            <w:pPr>
              <w:pStyle w:val="NormaleWeb"/>
              <w:spacing w:before="0" w:beforeAutospacing="0" w:after="240" w:afterAutospacing="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Regno Unito</w:t>
            </w:r>
          </w:p>
        </w:tc>
      </w:tr>
      <w:tr w:rsidR="00DC2602" w14:paraId="5520D5A7" w14:textId="77777777" w:rsidTr="00DC2602">
        <w:tc>
          <w:tcPr>
            <w:cnfStyle w:val="001000000000" w:firstRow="0" w:lastRow="0" w:firstColumn="1" w:lastColumn="0" w:oddVBand="0" w:evenVBand="0" w:oddHBand="0" w:evenHBand="0" w:firstRowFirstColumn="0" w:firstRowLastColumn="0" w:lastRowFirstColumn="0" w:lastRowLastColumn="0"/>
            <w:tcW w:w="5097" w:type="dxa"/>
            <w:vAlign w:val="center"/>
          </w:tcPr>
          <w:p w14:paraId="44E4BA38" w14:textId="0F5254F8" w:rsidR="00382601"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t>DAX</w:t>
            </w:r>
          </w:p>
        </w:tc>
        <w:tc>
          <w:tcPr>
            <w:tcW w:w="5097" w:type="dxa"/>
            <w:vAlign w:val="center"/>
          </w:tcPr>
          <w:p w14:paraId="15C8D85B" w14:textId="45FF87F8" w:rsidR="00382601" w:rsidRPr="00F534B3" w:rsidRDefault="00585F2E" w:rsidP="00DC2602">
            <w:pPr>
              <w:pStyle w:val="NormaleWeb"/>
              <w:spacing w:before="0" w:beforeAutospacing="0" w:after="240" w:afterAutospacing="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Germania</w:t>
            </w:r>
          </w:p>
        </w:tc>
      </w:tr>
      <w:tr w:rsidR="00382601" w14:paraId="01690F8B" w14:textId="77777777" w:rsidTr="00DC26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7" w:type="dxa"/>
            <w:vAlign w:val="center"/>
          </w:tcPr>
          <w:p w14:paraId="67B14327" w14:textId="23B5A3D1" w:rsidR="00382601"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t>CAC 40</w:t>
            </w:r>
          </w:p>
        </w:tc>
        <w:tc>
          <w:tcPr>
            <w:tcW w:w="5097" w:type="dxa"/>
            <w:vAlign w:val="center"/>
          </w:tcPr>
          <w:p w14:paraId="166A270E" w14:textId="4B6E4341" w:rsidR="00382601" w:rsidRPr="00F534B3" w:rsidRDefault="00585F2E" w:rsidP="00DC2602">
            <w:pPr>
              <w:pStyle w:val="NormaleWeb"/>
              <w:spacing w:before="0" w:beforeAutospacing="0" w:after="240" w:afterAutospacing="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Francia</w:t>
            </w:r>
          </w:p>
        </w:tc>
      </w:tr>
      <w:tr w:rsidR="00DC2602" w14:paraId="49B6DDC3" w14:textId="77777777" w:rsidTr="00DC2602">
        <w:tc>
          <w:tcPr>
            <w:cnfStyle w:val="001000000000" w:firstRow="0" w:lastRow="0" w:firstColumn="1" w:lastColumn="0" w:oddVBand="0" w:evenVBand="0" w:oddHBand="0" w:evenHBand="0" w:firstRowFirstColumn="0" w:firstRowLastColumn="0" w:lastRowFirstColumn="0" w:lastRowLastColumn="0"/>
            <w:tcW w:w="5097" w:type="dxa"/>
            <w:vAlign w:val="center"/>
          </w:tcPr>
          <w:p w14:paraId="3685F79A" w14:textId="4DFB238E" w:rsidR="00382601"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t>IBEX 35</w:t>
            </w:r>
          </w:p>
        </w:tc>
        <w:tc>
          <w:tcPr>
            <w:tcW w:w="5097" w:type="dxa"/>
            <w:vAlign w:val="center"/>
          </w:tcPr>
          <w:p w14:paraId="4C7899F3" w14:textId="34D7D187" w:rsidR="00382601" w:rsidRPr="00F534B3" w:rsidRDefault="00585F2E" w:rsidP="00DC2602">
            <w:pPr>
              <w:pStyle w:val="NormaleWeb"/>
              <w:spacing w:before="0" w:beforeAutospacing="0" w:after="240" w:afterAutospacing="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Spagna</w:t>
            </w:r>
          </w:p>
        </w:tc>
      </w:tr>
      <w:tr w:rsidR="00382601" w14:paraId="489455C2" w14:textId="77777777" w:rsidTr="00DC26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7" w:type="dxa"/>
            <w:vAlign w:val="center"/>
          </w:tcPr>
          <w:p w14:paraId="07665D8E" w14:textId="08525B1F" w:rsidR="00382601"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t>FTSE MIB</w:t>
            </w:r>
          </w:p>
        </w:tc>
        <w:tc>
          <w:tcPr>
            <w:tcW w:w="5097" w:type="dxa"/>
            <w:vAlign w:val="center"/>
          </w:tcPr>
          <w:p w14:paraId="7D1FD0A5" w14:textId="758E11B6" w:rsidR="00382601" w:rsidRPr="00F534B3" w:rsidRDefault="00585F2E" w:rsidP="00DC2602">
            <w:pPr>
              <w:pStyle w:val="NormaleWeb"/>
              <w:spacing w:before="0" w:beforeAutospacing="0" w:after="240" w:afterAutospacing="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Italia</w:t>
            </w:r>
          </w:p>
        </w:tc>
      </w:tr>
      <w:tr w:rsidR="00DC2602" w14:paraId="4F3FF9AF" w14:textId="77777777" w:rsidTr="00DC2602">
        <w:tc>
          <w:tcPr>
            <w:cnfStyle w:val="001000000000" w:firstRow="0" w:lastRow="0" w:firstColumn="1" w:lastColumn="0" w:oddVBand="0" w:evenVBand="0" w:oddHBand="0" w:evenHBand="0" w:firstRowFirstColumn="0" w:firstRowLastColumn="0" w:lastRowFirstColumn="0" w:lastRowLastColumn="0"/>
            <w:tcW w:w="5097" w:type="dxa"/>
            <w:vAlign w:val="center"/>
          </w:tcPr>
          <w:p w14:paraId="7DAACB37" w14:textId="386411AA" w:rsidR="00382601"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t>Nikkei 225</w:t>
            </w:r>
          </w:p>
        </w:tc>
        <w:tc>
          <w:tcPr>
            <w:tcW w:w="5097" w:type="dxa"/>
            <w:vAlign w:val="center"/>
          </w:tcPr>
          <w:p w14:paraId="1C42F1B9" w14:textId="1F8A5329" w:rsidR="00382601" w:rsidRPr="00F534B3" w:rsidRDefault="00585F2E" w:rsidP="00DC2602">
            <w:pPr>
              <w:pStyle w:val="NormaleWeb"/>
              <w:spacing w:before="0" w:beforeAutospacing="0" w:after="240" w:afterAutospacing="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Giappone</w:t>
            </w:r>
          </w:p>
        </w:tc>
      </w:tr>
      <w:tr w:rsidR="00382601" w14:paraId="5CBAD404" w14:textId="77777777" w:rsidTr="00DC26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7" w:type="dxa"/>
            <w:vAlign w:val="center"/>
          </w:tcPr>
          <w:p w14:paraId="645A803F" w14:textId="3E943892" w:rsidR="00382601"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lastRenderedPageBreak/>
              <w:t>Hang Seng</w:t>
            </w:r>
          </w:p>
        </w:tc>
        <w:tc>
          <w:tcPr>
            <w:tcW w:w="5097" w:type="dxa"/>
            <w:vAlign w:val="center"/>
          </w:tcPr>
          <w:p w14:paraId="7EF6CA46" w14:textId="0765C51E" w:rsidR="00382601" w:rsidRPr="00F534B3" w:rsidRDefault="00585F2E" w:rsidP="00DC2602">
            <w:pPr>
              <w:pStyle w:val="NormaleWeb"/>
              <w:spacing w:before="0" w:beforeAutospacing="0" w:after="240" w:afterAutospacing="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Hong Kong</w:t>
            </w:r>
          </w:p>
        </w:tc>
      </w:tr>
      <w:tr w:rsidR="00DC2602" w14:paraId="0FDB9A57" w14:textId="77777777" w:rsidTr="00DC2602">
        <w:tc>
          <w:tcPr>
            <w:cnfStyle w:val="001000000000" w:firstRow="0" w:lastRow="0" w:firstColumn="1" w:lastColumn="0" w:oddVBand="0" w:evenVBand="0" w:oddHBand="0" w:evenHBand="0" w:firstRowFirstColumn="0" w:firstRowLastColumn="0" w:lastRowFirstColumn="0" w:lastRowLastColumn="0"/>
            <w:tcW w:w="5097" w:type="dxa"/>
            <w:vAlign w:val="center"/>
          </w:tcPr>
          <w:p w14:paraId="06648F93" w14:textId="5598E94F" w:rsidR="00382601" w:rsidRPr="00F534B3" w:rsidRDefault="007226C1" w:rsidP="00DC2602">
            <w:pPr>
              <w:pStyle w:val="NormaleWeb"/>
              <w:spacing w:before="0" w:beforeAutospacing="0" w:after="240" w:afterAutospacing="0"/>
              <w:jc w:val="center"/>
              <w:rPr>
                <w:rFonts w:asciiTheme="minorHAnsi" w:hAnsiTheme="minorHAnsi" w:cstheme="minorHAnsi"/>
              </w:rPr>
            </w:pPr>
            <w:r>
              <w:rPr>
                <w:rFonts w:asciiTheme="minorHAnsi" w:hAnsiTheme="minorHAnsi" w:cstheme="minorHAnsi"/>
              </w:rPr>
              <w:t>Dow Jones Industrial Average</w:t>
            </w:r>
          </w:p>
        </w:tc>
        <w:tc>
          <w:tcPr>
            <w:tcW w:w="5097" w:type="dxa"/>
            <w:vAlign w:val="center"/>
          </w:tcPr>
          <w:p w14:paraId="5AE4A004" w14:textId="2580B85A" w:rsidR="00382601" w:rsidRPr="00F534B3" w:rsidRDefault="007226C1" w:rsidP="00DC2602">
            <w:pPr>
              <w:pStyle w:val="NormaleWeb"/>
              <w:spacing w:before="0" w:beforeAutospacing="0" w:after="240" w:afterAutospacing="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Stati Uniti d’America</w:t>
            </w:r>
          </w:p>
        </w:tc>
      </w:tr>
      <w:tr w:rsidR="00585F2E" w14:paraId="77B4D72B" w14:textId="77777777" w:rsidTr="00DC26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97" w:type="dxa"/>
            <w:vAlign w:val="center"/>
          </w:tcPr>
          <w:p w14:paraId="2FB96B83" w14:textId="21DB37D8" w:rsidR="00585F2E" w:rsidRPr="00F534B3" w:rsidRDefault="00F534B3" w:rsidP="00DC2602">
            <w:pPr>
              <w:pStyle w:val="NormaleWeb"/>
              <w:spacing w:before="0" w:beforeAutospacing="0" w:after="240" w:afterAutospacing="0"/>
              <w:jc w:val="center"/>
              <w:rPr>
                <w:rFonts w:asciiTheme="minorHAnsi" w:hAnsiTheme="minorHAnsi" w:cstheme="minorHAnsi"/>
              </w:rPr>
            </w:pPr>
            <w:r w:rsidRPr="00F534B3">
              <w:rPr>
                <w:rFonts w:asciiTheme="minorHAnsi" w:hAnsiTheme="minorHAnsi" w:cstheme="minorHAnsi"/>
              </w:rPr>
              <w:t>TSX 60</w:t>
            </w:r>
          </w:p>
        </w:tc>
        <w:tc>
          <w:tcPr>
            <w:tcW w:w="5097" w:type="dxa"/>
            <w:vAlign w:val="center"/>
          </w:tcPr>
          <w:p w14:paraId="775E4CCA" w14:textId="445DC1FF" w:rsidR="00585F2E" w:rsidRPr="00F534B3" w:rsidRDefault="00585F2E" w:rsidP="00DC2602">
            <w:pPr>
              <w:pStyle w:val="NormaleWeb"/>
              <w:spacing w:before="0" w:beforeAutospacing="0" w:after="240" w:afterAutospacing="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F534B3">
              <w:rPr>
                <w:rFonts w:asciiTheme="minorHAnsi" w:hAnsiTheme="minorHAnsi" w:cstheme="minorHAnsi"/>
              </w:rPr>
              <w:t>Canada</w:t>
            </w:r>
          </w:p>
        </w:tc>
      </w:tr>
      <w:tr w:rsidR="00C903F5" w14:paraId="1AA23F6B" w14:textId="77777777" w:rsidTr="00DC2602">
        <w:tc>
          <w:tcPr>
            <w:cnfStyle w:val="001000000000" w:firstRow="0" w:lastRow="0" w:firstColumn="1" w:lastColumn="0" w:oddVBand="0" w:evenVBand="0" w:oddHBand="0" w:evenHBand="0" w:firstRowFirstColumn="0" w:firstRowLastColumn="0" w:lastRowFirstColumn="0" w:lastRowLastColumn="0"/>
            <w:tcW w:w="5097" w:type="dxa"/>
            <w:vAlign w:val="center"/>
          </w:tcPr>
          <w:p w14:paraId="5E8CF098" w14:textId="474721E2" w:rsidR="00C903F5" w:rsidRPr="00F534B3" w:rsidRDefault="00DC2602" w:rsidP="00DC2602">
            <w:pPr>
              <w:pStyle w:val="NormaleWeb"/>
              <w:spacing w:before="0" w:beforeAutospacing="0" w:after="240" w:afterAutospacing="0"/>
              <w:jc w:val="center"/>
              <w:rPr>
                <w:rFonts w:asciiTheme="minorHAnsi" w:hAnsiTheme="minorHAnsi" w:cstheme="minorHAnsi"/>
              </w:rPr>
            </w:pPr>
            <w:r>
              <w:rPr>
                <w:rFonts w:asciiTheme="minorHAnsi" w:hAnsiTheme="minorHAnsi" w:cstheme="minorHAnsi"/>
              </w:rPr>
              <w:t>Nasdaq 100</w:t>
            </w:r>
          </w:p>
        </w:tc>
        <w:tc>
          <w:tcPr>
            <w:tcW w:w="5097" w:type="dxa"/>
            <w:vAlign w:val="center"/>
          </w:tcPr>
          <w:p w14:paraId="5FF6D04F" w14:textId="3E00C354" w:rsidR="00C903F5" w:rsidRPr="00F534B3" w:rsidRDefault="00DC2602" w:rsidP="00DC2602">
            <w:pPr>
              <w:pStyle w:val="NormaleWeb"/>
              <w:spacing w:before="0" w:beforeAutospacing="0" w:after="240" w:afterAutospacing="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Stati Uniti d’America</w:t>
            </w:r>
          </w:p>
        </w:tc>
      </w:tr>
    </w:tbl>
    <w:p w14:paraId="321021AA" w14:textId="2D794C32" w:rsidR="00EF7690" w:rsidRPr="00EF7690" w:rsidRDefault="00EF7690" w:rsidP="009B373D">
      <w:pPr>
        <w:pStyle w:val="NormaleWeb"/>
        <w:shd w:val="clear" w:color="auto" w:fill="FFFFFF"/>
        <w:spacing w:before="0" w:beforeAutospacing="0" w:after="240" w:afterAutospacing="0"/>
        <w:rPr>
          <w:rFonts w:asciiTheme="minorHAnsi" w:hAnsiTheme="minorHAnsi" w:cstheme="minorHAnsi"/>
          <w:color w:val="00B0F0"/>
        </w:rPr>
      </w:pPr>
    </w:p>
    <w:p w14:paraId="6CEC611D" w14:textId="4D44BC8C" w:rsidR="00CC3F76" w:rsidRPr="00500861" w:rsidRDefault="00B04642" w:rsidP="00C457CC">
      <w:pPr>
        <w:spacing w:line="240" w:lineRule="auto"/>
        <w:rPr>
          <w:sz w:val="20"/>
          <w:szCs w:val="20"/>
        </w:rPr>
      </w:pPr>
      <w:r w:rsidRPr="00500861">
        <w:rPr>
          <w:sz w:val="20"/>
          <w:szCs w:val="20"/>
        </w:rPr>
        <w:t xml:space="preserve">Fonti: </w:t>
      </w:r>
      <w:hyperlink r:id="rId29" w:history="1">
        <w:r w:rsidR="00474864" w:rsidRPr="00500861">
          <w:rPr>
            <w:rStyle w:val="Collegamentoipertestuale"/>
            <w:sz w:val="20"/>
            <w:szCs w:val="20"/>
          </w:rPr>
          <w:t>https://www.forbes.com/advisor/it/investire/cosa-sono-indici-azionari/</w:t>
        </w:r>
      </w:hyperlink>
    </w:p>
    <w:p w14:paraId="27FE181A" w14:textId="00C79733" w:rsidR="00474864" w:rsidRDefault="00000000" w:rsidP="00C457CC">
      <w:pPr>
        <w:spacing w:line="240" w:lineRule="auto"/>
        <w:rPr>
          <w:sz w:val="24"/>
          <w:szCs w:val="24"/>
        </w:rPr>
      </w:pPr>
      <w:hyperlink r:id="rId30" w:history="1">
        <w:r w:rsidR="00474864" w:rsidRPr="00500861">
          <w:rPr>
            <w:rStyle w:val="Collegamentoipertestuale"/>
            <w:sz w:val="20"/>
            <w:szCs w:val="20"/>
          </w:rPr>
          <w:t>https://www.ig.com/it/ig-academy/introduzione-ai-mercati-finanziari/what-are-stock-indices</w:t>
        </w:r>
      </w:hyperlink>
    </w:p>
    <w:p w14:paraId="1DD12881" w14:textId="77777777" w:rsidR="00AB2A9B" w:rsidRDefault="00AB2A9B" w:rsidP="009B373D">
      <w:pPr>
        <w:rPr>
          <w:sz w:val="24"/>
          <w:szCs w:val="24"/>
        </w:rPr>
      </w:pPr>
    </w:p>
    <w:p w14:paraId="4B9C79CE" w14:textId="7513EF91" w:rsidR="000C3E81" w:rsidRPr="001E76AF" w:rsidRDefault="000003FE" w:rsidP="0072412E">
      <w:pPr>
        <w:pStyle w:val="Paragrafoelenco"/>
        <w:numPr>
          <w:ilvl w:val="0"/>
          <w:numId w:val="2"/>
        </w:numPr>
        <w:spacing w:line="336" w:lineRule="auto"/>
        <w:ind w:left="357" w:hanging="357"/>
        <w:rPr>
          <w:rFonts w:cstheme="minorHAnsi"/>
          <w:b/>
          <w:bCs/>
          <w:outline/>
          <w:color w:val="820000"/>
          <w:sz w:val="32"/>
          <w:szCs w:val="32"/>
          <w14:shadow w14:blurRad="0" w14:dist="38100" w14:dir="2700000" w14:sx="100000" w14:sy="100000" w14:kx="0" w14:ky="0" w14:algn="tl">
            <w14:srgbClr w14:val="820000"/>
          </w14:shadow>
          <w14:reflection w14:blurRad="6350" w14:stA="55000" w14:stPos="0" w14:endA="50" w14:endPos="85000" w14:dist="60007" w14:dir="5400000" w14:fadeDir="5400000" w14:sx="100000" w14:sy="-100000" w14:kx="0" w14:ky="0" w14:algn="bl"/>
          <w14:textOutline w14:w="6604" w14:cap="flat" w14:cmpd="sng" w14:algn="ctr">
            <w14:solidFill>
              <w14:srgbClr w14:val="820000"/>
            </w14:solidFill>
            <w14:prstDash w14:val="solid"/>
            <w14:round/>
          </w14:textOutline>
          <w14:textFill>
            <w14:solidFill>
              <w14:srgbClr w14:val="FFFFFF"/>
            </w14:solidFill>
          </w14:textFill>
        </w:rPr>
      </w:pPr>
      <w:r w:rsidRPr="001E76AF">
        <w:rPr>
          <w:rFonts w:cstheme="minorHAnsi"/>
          <w:b/>
          <w:bCs/>
          <w:outline/>
          <w:color w:val="820000"/>
          <w:sz w:val="32"/>
          <w:szCs w:val="32"/>
          <w14:shadow w14:blurRad="0" w14:dist="38100" w14:dir="2700000" w14:sx="100000" w14:sy="100000" w14:kx="0" w14:ky="0" w14:algn="tl">
            <w14:srgbClr w14:val="820000"/>
          </w14:shadow>
          <w14:reflection w14:blurRad="6350" w14:stA="55000" w14:stPos="0" w14:endA="50" w14:endPos="85000" w14:dist="60007" w14:dir="5400000" w14:fadeDir="5400000" w14:sx="100000" w14:sy="-100000" w14:kx="0" w14:ky="0" w14:algn="bl"/>
          <w14:textOutline w14:w="6604" w14:cap="flat" w14:cmpd="sng" w14:algn="ctr">
            <w14:solidFill>
              <w14:srgbClr w14:val="820000"/>
            </w14:solidFill>
            <w14:prstDash w14:val="solid"/>
            <w14:round/>
          </w14:textOutline>
          <w14:textFill>
            <w14:solidFill>
              <w14:srgbClr w14:val="FFFFFF"/>
            </w14:solidFill>
          </w14:textFill>
        </w:rPr>
        <w:t>Strumenti finanziari</w:t>
      </w:r>
    </w:p>
    <w:p w14:paraId="59DE2483" w14:textId="6B3501DC" w:rsidR="00B14C74" w:rsidRDefault="00151E6F" w:rsidP="004D4717">
      <w:pPr>
        <w:pStyle w:val="Paragrafoelenco"/>
        <w:numPr>
          <w:ilvl w:val="0"/>
          <w:numId w:val="33"/>
        </w:numPr>
        <w:spacing w:before="240" w:after="0" w:line="276" w:lineRule="auto"/>
        <w:ind w:left="357" w:hanging="357"/>
        <w:rPr>
          <w:rFonts w:cstheme="minorHAnsi"/>
          <w:b/>
          <w:color w:val="FF000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pPr>
      <w:r w:rsidRPr="00307646">
        <w:rPr>
          <w:rFonts w:cstheme="minorHAnsi"/>
          <w:b/>
          <w:color w:val="FF0000"/>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Cosa sono?</w:t>
      </w:r>
    </w:p>
    <w:p w14:paraId="05D40599" w14:textId="1E30836E" w:rsidR="00307646" w:rsidRDefault="0015770C" w:rsidP="002D1C73">
      <w:pPr>
        <w:spacing w:before="240" w:after="0" w:line="276" w:lineRule="auto"/>
        <w:rPr>
          <w:color w:val="454545"/>
          <w:sz w:val="24"/>
          <w:szCs w:val="24"/>
          <w:shd w:val="clear" w:color="auto" w:fill="FFFFFF"/>
        </w:rPr>
      </w:pPr>
      <w:r w:rsidRPr="575BAD95">
        <w:rPr>
          <w:color w:val="454545"/>
          <w:sz w:val="24"/>
          <w:szCs w:val="24"/>
          <w:shd w:val="clear" w:color="auto" w:fill="FFFFFF"/>
        </w:rPr>
        <w:t>Secondo il testo unico della finanza, gli</w:t>
      </w:r>
      <w:r w:rsidRPr="575BAD95">
        <w:rPr>
          <w:rStyle w:val="Enfasigrassetto"/>
          <w:color w:val="454545"/>
          <w:sz w:val="24"/>
          <w:szCs w:val="24"/>
          <w:shd w:val="clear" w:color="auto" w:fill="FFFFFF"/>
        </w:rPr>
        <w:t> strumenti finanziari</w:t>
      </w:r>
      <w:r w:rsidRPr="575BAD95">
        <w:rPr>
          <w:color w:val="454545"/>
          <w:sz w:val="24"/>
          <w:szCs w:val="24"/>
          <w:shd w:val="clear" w:color="auto" w:fill="FFFFFF"/>
        </w:rPr>
        <w:t> sono prodotti finanziari e tutte le forme di investimento di natura finanziaria effettuate per un ritorno economico</w:t>
      </w:r>
      <w:r w:rsidR="00A90DAB" w:rsidRPr="575BAD95">
        <w:rPr>
          <w:color w:val="454545"/>
          <w:sz w:val="24"/>
          <w:szCs w:val="24"/>
          <w:shd w:val="clear" w:color="auto" w:fill="FFFFFF"/>
        </w:rPr>
        <w:t xml:space="preserve"> (</w:t>
      </w:r>
      <w:r w:rsidR="00674DB4" w:rsidRPr="575BAD95">
        <w:rPr>
          <w:color w:val="454545"/>
          <w:sz w:val="24"/>
          <w:szCs w:val="24"/>
          <w:shd w:val="clear" w:color="auto" w:fill="FFFFFF"/>
        </w:rPr>
        <w:t>D. Lgs.</w:t>
      </w:r>
      <w:r w:rsidR="00AC2CB7" w:rsidRPr="575BAD95">
        <w:rPr>
          <w:color w:val="454545"/>
          <w:sz w:val="24"/>
          <w:szCs w:val="24"/>
          <w:shd w:val="clear" w:color="auto" w:fill="FFFFFF"/>
        </w:rPr>
        <w:t xml:space="preserve"> 24/02/1998)</w:t>
      </w:r>
      <w:r w:rsidR="00D65F74" w:rsidRPr="575BAD95">
        <w:rPr>
          <w:color w:val="454545"/>
          <w:sz w:val="24"/>
          <w:szCs w:val="24"/>
          <w:shd w:val="clear" w:color="auto" w:fill="FFFFFF"/>
        </w:rPr>
        <w:t>.</w:t>
      </w:r>
    </w:p>
    <w:p w14:paraId="29A86351" w14:textId="77777777" w:rsidR="005D483F" w:rsidRPr="005D483F" w:rsidRDefault="005D483F" w:rsidP="002D1C73">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Fonts w:asciiTheme="minorHAnsi" w:hAnsiTheme="minorHAnsi" w:cstheme="minorBidi"/>
          <w:color w:val="000000"/>
          <w:spacing w:val="3"/>
        </w:rPr>
        <w:t>Il TUF spiega, prima di tutto, che cosa non sono gli strumenti finanziari. </w:t>
      </w:r>
      <w:r w:rsidRPr="7F9896B4">
        <w:rPr>
          <w:rStyle w:val="Enfasigrassetto"/>
          <w:rFonts w:asciiTheme="minorHAnsi" w:hAnsiTheme="minorHAnsi" w:cstheme="minorBidi"/>
          <w:color w:val="000000"/>
          <w:spacing w:val="3"/>
          <w:bdr w:val="none" w:sz="0" w:space="0" w:color="auto" w:frame="1"/>
        </w:rPr>
        <w:t>Sono esclusi gli strumenti di pagamento</w:t>
      </w:r>
      <w:r w:rsidRPr="7F9896B4">
        <w:rPr>
          <w:rFonts w:asciiTheme="minorHAnsi" w:hAnsiTheme="minorHAnsi" w:cstheme="minorBidi"/>
          <w:color w:val="000000"/>
          <w:spacing w:val="3"/>
        </w:rPr>
        <w:t> (come i contanti, le carte di credito, gli assegni) e anche </w:t>
      </w:r>
      <w:r w:rsidRPr="7F9896B4">
        <w:rPr>
          <w:rStyle w:val="Enfasigrassetto"/>
          <w:rFonts w:asciiTheme="minorHAnsi" w:hAnsiTheme="minorHAnsi" w:cstheme="minorBidi"/>
          <w:color w:val="000000"/>
          <w:spacing w:val="3"/>
          <w:bdr w:val="none" w:sz="0" w:space="0" w:color="auto" w:frame="1"/>
        </w:rPr>
        <w:t>alcuni prodotti</w:t>
      </w:r>
      <w:r w:rsidRPr="7F9896B4">
        <w:rPr>
          <w:rFonts w:asciiTheme="minorHAnsi" w:hAnsiTheme="minorHAnsi" w:cstheme="minorBidi"/>
          <w:color w:val="000000"/>
          <w:spacing w:val="3"/>
        </w:rPr>
        <w:t>, come il conto corrente, </w:t>
      </w:r>
      <w:r w:rsidRPr="7F9896B4">
        <w:rPr>
          <w:rStyle w:val="Enfasigrassetto"/>
          <w:rFonts w:asciiTheme="minorHAnsi" w:hAnsiTheme="minorHAnsi" w:cstheme="minorBidi"/>
          <w:color w:val="000000"/>
          <w:spacing w:val="3"/>
          <w:bdr w:val="none" w:sz="0" w:space="0" w:color="auto" w:frame="1"/>
        </w:rPr>
        <w:t>che non hanno come fine l'investimento</w:t>
      </w:r>
      <w:r w:rsidRPr="7F9896B4">
        <w:rPr>
          <w:rFonts w:asciiTheme="minorHAnsi" w:hAnsiTheme="minorHAnsi" w:cstheme="minorBidi"/>
          <w:color w:val="000000"/>
          <w:spacing w:val="3"/>
        </w:rPr>
        <w:t>.</w:t>
      </w:r>
    </w:p>
    <w:p w14:paraId="0A1CFC5D" w14:textId="0E47FC28" w:rsidR="005D483F" w:rsidRDefault="005D483F" w:rsidP="002D1C73">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Fonts w:asciiTheme="minorHAnsi" w:hAnsiTheme="minorHAnsi" w:cstheme="minorBidi"/>
          <w:color w:val="000000"/>
          <w:spacing w:val="3"/>
        </w:rPr>
        <w:t>Il TUF, quindi, non dettaglia una definizione stringente ma</w:t>
      </w:r>
      <w:r w:rsidR="00152232">
        <w:rPr>
          <w:rFonts w:asciiTheme="minorHAnsi" w:hAnsiTheme="minorHAnsi" w:cstheme="minorBidi"/>
          <w:color w:val="000000"/>
          <w:spacing w:val="3"/>
        </w:rPr>
        <w:t>,</w:t>
      </w:r>
      <w:r w:rsidRPr="7F9896B4">
        <w:rPr>
          <w:rFonts w:asciiTheme="minorHAnsi" w:hAnsiTheme="minorHAnsi" w:cstheme="minorBidi"/>
          <w:color w:val="000000"/>
          <w:spacing w:val="3"/>
        </w:rPr>
        <w:t xml:space="preserve"> traccia il perimetro degli strumenti finanziari con un preciso elenco costituito da </w:t>
      </w:r>
      <w:proofErr w:type="gramStart"/>
      <w:r w:rsidRPr="7F9896B4">
        <w:rPr>
          <w:rFonts w:asciiTheme="minorHAnsi" w:hAnsiTheme="minorHAnsi" w:cstheme="minorBidi"/>
          <w:color w:val="000000"/>
          <w:spacing w:val="3"/>
        </w:rPr>
        <w:t>11</w:t>
      </w:r>
      <w:proofErr w:type="gramEnd"/>
      <w:r w:rsidRPr="7F9896B4">
        <w:rPr>
          <w:rFonts w:asciiTheme="minorHAnsi" w:hAnsiTheme="minorHAnsi" w:cstheme="minorBidi"/>
          <w:color w:val="000000"/>
          <w:spacing w:val="3"/>
        </w:rPr>
        <w:t xml:space="preserve"> tipologie, molte delle quali includono diversi strumenti.</w:t>
      </w:r>
    </w:p>
    <w:p w14:paraId="137CD347" w14:textId="14E40F36" w:rsidR="005B7741" w:rsidRDefault="005B7741" w:rsidP="001C17ED">
      <w:pPr>
        <w:pStyle w:val="NormaleWeb"/>
        <w:numPr>
          <w:ilvl w:val="0"/>
          <w:numId w:val="33"/>
        </w:numPr>
        <w:spacing w:before="240" w:beforeAutospacing="0" w:after="0" w:afterAutospacing="0" w:line="276" w:lineRule="auto"/>
        <w:ind w:left="357" w:hanging="357"/>
        <w:textAlignment w:val="baseline"/>
        <w:rPr>
          <w:rFonts w:asciiTheme="minorHAnsi" w:eastAsiaTheme="minorHAnsi" w:hAnsiTheme="minorHAnsi" w:cstheme="minorHAnsi"/>
          <w:b/>
          <w:color w:val="FF0000"/>
          <w:kern w:val="2"/>
          <w:shd w:val="clear" w:color="auto" w:fill="FFFFFF"/>
          <w:lang w:eastAsia="en-US"/>
          <w14:textOutline w14:w="0" w14:cap="flat" w14:cmpd="sng" w14:algn="ctr">
            <w14:noFill/>
            <w14:prstDash w14:val="solid"/>
            <w14:round/>
          </w14:textOutline>
          <w14:props3d w14:extrusionH="57150" w14:contourW="0" w14:prstMaterial="softEdge">
            <w14:bevelT w14:w="25400" w14:h="38100" w14:prst="circle"/>
          </w14:props3d>
          <w14:ligatures w14:val="standardContextual"/>
        </w:rPr>
      </w:pPr>
      <w:r w:rsidRPr="005B7741">
        <w:rPr>
          <w:rFonts w:asciiTheme="minorHAnsi" w:eastAsiaTheme="minorHAnsi" w:hAnsiTheme="minorHAnsi" w:cstheme="minorHAnsi"/>
          <w:b/>
          <w:color w:val="FF0000"/>
          <w:kern w:val="2"/>
          <w:shd w:val="clear" w:color="auto" w:fill="FFFFFF"/>
          <w:lang w:eastAsia="en-US"/>
          <w14:textOutline w14:w="0" w14:cap="flat" w14:cmpd="sng" w14:algn="ctr">
            <w14:noFill/>
            <w14:prstDash w14:val="solid"/>
            <w14:round/>
          </w14:textOutline>
          <w14:props3d w14:extrusionH="57150" w14:contourW="0" w14:prstMaterial="softEdge">
            <w14:bevelT w14:w="25400" w14:h="38100" w14:prst="circle"/>
          </w14:props3d>
          <w14:ligatures w14:val="standardContextual"/>
        </w:rPr>
        <w:t>Strumenti principali: azioni, obbligazioni, fondi</w:t>
      </w:r>
    </w:p>
    <w:p w14:paraId="187303BF" w14:textId="77777777" w:rsidR="007863D8" w:rsidRPr="00412426" w:rsidRDefault="007863D8" w:rsidP="7F9896B4">
      <w:pPr>
        <w:pStyle w:val="NormaleWeb"/>
        <w:spacing w:before="240" w:beforeAutospacing="0" w:after="0" w:afterAutospacing="0" w:line="276" w:lineRule="auto"/>
        <w:textAlignment w:val="baseline"/>
        <w:rPr>
          <w:rFonts w:asciiTheme="minorHAnsi" w:hAnsiTheme="minorHAnsi" w:cstheme="minorBidi"/>
          <w:color w:val="000000"/>
          <w:spacing w:val="3"/>
        </w:rPr>
      </w:pPr>
      <w:r w:rsidRPr="7F9896B4">
        <w:rPr>
          <w:rFonts w:asciiTheme="minorHAnsi" w:hAnsiTheme="minorHAnsi" w:cstheme="minorBidi"/>
          <w:color w:val="000000"/>
          <w:spacing w:val="3"/>
        </w:rPr>
        <w:t>Tra gli strumenti finanziari ci sono le </w:t>
      </w:r>
      <w:r w:rsidRPr="7F9896B4">
        <w:rPr>
          <w:rStyle w:val="Enfasigrassetto"/>
          <w:rFonts w:asciiTheme="minorHAnsi" w:hAnsiTheme="minorHAnsi" w:cstheme="minorBidi"/>
          <w:color w:val="000000"/>
          <w:spacing w:val="3"/>
          <w:bdr w:val="none" w:sz="0" w:space="0" w:color="auto" w:frame="1"/>
        </w:rPr>
        <w:t>azioni,</w:t>
      </w:r>
      <w:r w:rsidRPr="7F9896B4">
        <w:rPr>
          <w:rFonts w:asciiTheme="minorHAnsi" w:hAnsiTheme="minorHAnsi" w:cstheme="minorBidi"/>
          <w:color w:val="000000"/>
          <w:spacing w:val="3"/>
        </w:rPr>
        <w:t> </w:t>
      </w:r>
      <w:r w:rsidRPr="7F9896B4">
        <w:rPr>
          <w:rStyle w:val="Enfasigrassetto"/>
          <w:rFonts w:asciiTheme="minorHAnsi" w:hAnsiTheme="minorHAnsi" w:cstheme="minorBidi"/>
          <w:color w:val="000000"/>
          <w:spacing w:val="3"/>
          <w:bdr w:val="none" w:sz="0" w:space="0" w:color="auto" w:frame="1"/>
        </w:rPr>
        <w:t>cioè titoli che</w:t>
      </w:r>
      <w:r w:rsidRPr="7F9896B4">
        <w:rPr>
          <w:rFonts w:asciiTheme="minorHAnsi" w:hAnsiTheme="minorHAnsi" w:cstheme="minorBidi"/>
          <w:color w:val="000000"/>
          <w:spacing w:val="3"/>
        </w:rPr>
        <w:t> </w:t>
      </w:r>
      <w:r w:rsidRPr="7F9896B4">
        <w:rPr>
          <w:rStyle w:val="Enfasigrassetto"/>
          <w:rFonts w:asciiTheme="minorHAnsi" w:hAnsiTheme="minorHAnsi" w:cstheme="minorBidi"/>
          <w:color w:val="000000"/>
          <w:spacing w:val="3"/>
          <w:bdr w:val="none" w:sz="0" w:space="0" w:color="auto" w:frame="1"/>
        </w:rPr>
        <w:t>conferiscono il possesso di una quota societaria e diritti</w:t>
      </w:r>
      <w:r w:rsidRPr="7F9896B4">
        <w:rPr>
          <w:rFonts w:asciiTheme="minorHAnsi" w:hAnsiTheme="minorHAnsi" w:cstheme="minorBidi"/>
          <w:color w:val="000000"/>
          <w:spacing w:val="3"/>
        </w:rPr>
        <w:t> (diversi in base alla tipologia di azioni) </w:t>
      </w:r>
      <w:r w:rsidRPr="7F9896B4">
        <w:rPr>
          <w:rStyle w:val="Enfasigrassetto"/>
          <w:rFonts w:asciiTheme="minorHAnsi" w:hAnsiTheme="minorHAnsi" w:cstheme="minorBidi"/>
          <w:color w:val="000000"/>
          <w:spacing w:val="3"/>
          <w:bdr w:val="none" w:sz="0" w:space="0" w:color="auto" w:frame="1"/>
        </w:rPr>
        <w:t>nei confronti della società</w:t>
      </w:r>
      <w:r w:rsidRPr="7F9896B4">
        <w:rPr>
          <w:rFonts w:asciiTheme="minorHAnsi" w:hAnsiTheme="minorHAnsi" w:cstheme="minorBidi"/>
          <w:color w:val="000000"/>
          <w:spacing w:val="3"/>
        </w:rPr>
        <w:t>. Per definizione, le azioni costituiscono capitale di rischio. Vuol dire che non ci sono garanzie sul ritorno dell'investimento.</w:t>
      </w:r>
    </w:p>
    <w:p w14:paraId="31C03D12" w14:textId="77777777" w:rsidR="00C2781C" w:rsidRDefault="007863D8" w:rsidP="7F9896B4">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Fonts w:asciiTheme="minorHAnsi" w:hAnsiTheme="minorHAnsi" w:cstheme="minorBidi"/>
          <w:color w:val="000000"/>
          <w:spacing w:val="3"/>
        </w:rPr>
        <w:t>Altro strumento molto diffuso sono </w:t>
      </w:r>
      <w:r w:rsidRPr="7F9896B4">
        <w:rPr>
          <w:rStyle w:val="Enfasigrassetto"/>
          <w:rFonts w:asciiTheme="minorHAnsi" w:hAnsiTheme="minorHAnsi" w:cstheme="minorBidi"/>
          <w:color w:val="000000"/>
          <w:spacing w:val="3"/>
          <w:bdr w:val="none" w:sz="0" w:space="0" w:color="auto" w:frame="1"/>
        </w:rPr>
        <w:t>le obbligazioni</w:t>
      </w:r>
      <w:r w:rsidRPr="7F9896B4">
        <w:rPr>
          <w:rFonts w:asciiTheme="minorHAnsi" w:hAnsiTheme="minorHAnsi" w:cstheme="minorBidi"/>
          <w:color w:val="000000"/>
          <w:spacing w:val="3"/>
        </w:rPr>
        <w:t>, </w:t>
      </w:r>
      <w:r w:rsidRPr="7F9896B4">
        <w:rPr>
          <w:rStyle w:val="Enfasigrassetto"/>
          <w:rFonts w:asciiTheme="minorHAnsi" w:hAnsiTheme="minorHAnsi" w:cstheme="minorBidi"/>
          <w:color w:val="000000"/>
          <w:spacing w:val="3"/>
          <w:bdr w:val="none" w:sz="0" w:space="0" w:color="auto" w:frame="1"/>
        </w:rPr>
        <w:t>utilizzate da Stati</w:t>
      </w:r>
      <w:r w:rsidR="001745F2" w:rsidRPr="7F9896B4">
        <w:rPr>
          <w:rStyle w:val="Enfasigrassetto"/>
          <w:rFonts w:asciiTheme="minorHAnsi" w:hAnsiTheme="minorHAnsi" w:cstheme="minorBidi"/>
          <w:color w:val="000000"/>
          <w:spacing w:val="3"/>
          <w:bdr w:val="none" w:sz="0" w:space="0" w:color="auto" w:frame="1"/>
        </w:rPr>
        <w:t xml:space="preserve">, enti territoriali e </w:t>
      </w:r>
      <w:r w:rsidR="00E1760F" w:rsidRPr="7F9896B4">
        <w:rPr>
          <w:rStyle w:val="Enfasigrassetto"/>
          <w:rFonts w:asciiTheme="minorHAnsi" w:hAnsiTheme="minorHAnsi" w:cstheme="minorBidi"/>
          <w:color w:val="000000"/>
          <w:spacing w:val="3"/>
          <w:bdr w:val="none" w:sz="0" w:space="0" w:color="auto" w:frame="1"/>
        </w:rPr>
        <w:t>società di capitali</w:t>
      </w:r>
      <w:r w:rsidRPr="7F9896B4">
        <w:rPr>
          <w:rStyle w:val="Enfasigrassetto"/>
          <w:rFonts w:asciiTheme="minorHAnsi" w:hAnsiTheme="minorHAnsi" w:cstheme="minorBidi"/>
          <w:color w:val="000000"/>
          <w:spacing w:val="3"/>
          <w:bdr w:val="none" w:sz="0" w:space="0" w:color="auto" w:frame="1"/>
        </w:rPr>
        <w:t xml:space="preserve"> per raccogliere liquidità in cambio di un rendimento</w:t>
      </w:r>
      <w:r w:rsidRPr="7F9896B4">
        <w:rPr>
          <w:rFonts w:asciiTheme="minorHAnsi" w:hAnsiTheme="minorHAnsi" w:cstheme="minorBidi"/>
          <w:color w:val="000000"/>
          <w:spacing w:val="3"/>
        </w:rPr>
        <w:t> (anche in questo caso, con alcune differenze in base alla tipologia di obbligazione). Come sempre, non si deve parlare di rischio zero (che non esiste), ma di rischio mediamente più contenuto rispetto alle azioni. La differenza più importante, infatti, non sta tanto nella sicurezza di avere un ritorno ma nel meccanismo di base: le obbligazioni offrono </w:t>
      </w:r>
      <w:r w:rsidRPr="7F9896B4">
        <w:rPr>
          <w:rStyle w:val="Enfasigrassetto"/>
          <w:rFonts w:asciiTheme="minorHAnsi" w:hAnsiTheme="minorHAnsi" w:cstheme="minorBidi"/>
          <w:color w:val="000000"/>
          <w:spacing w:val="3"/>
          <w:bdr w:val="none" w:sz="0" w:space="0" w:color="auto" w:frame="1"/>
        </w:rPr>
        <w:t>condizioni prestabilite in partenza</w:t>
      </w:r>
      <w:r w:rsidRPr="7F9896B4">
        <w:rPr>
          <w:rFonts w:asciiTheme="minorHAnsi" w:hAnsiTheme="minorHAnsi" w:cstheme="minorBidi"/>
          <w:color w:val="000000"/>
          <w:spacing w:val="3"/>
        </w:rPr>
        <w:t>, sia in termini di rendimento che di scadenza.</w:t>
      </w:r>
    </w:p>
    <w:p w14:paraId="1EF38798" w14:textId="0EA6D82F" w:rsidR="007863D8" w:rsidRPr="00412426" w:rsidRDefault="007863D8" w:rsidP="7F9896B4">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Fonts w:asciiTheme="minorHAnsi" w:hAnsiTheme="minorHAnsi" w:cstheme="minorBidi"/>
          <w:color w:val="000000"/>
          <w:spacing w:val="3"/>
        </w:rPr>
        <w:lastRenderedPageBreak/>
        <w:t>Molto note sono anche le quote di </w:t>
      </w:r>
      <w:r w:rsidRPr="7F9896B4">
        <w:rPr>
          <w:rStyle w:val="Enfasigrassetto"/>
          <w:rFonts w:asciiTheme="minorHAnsi" w:hAnsiTheme="minorHAnsi" w:cstheme="minorBidi"/>
          <w:color w:val="000000"/>
          <w:spacing w:val="3"/>
          <w:bdr w:val="none" w:sz="0" w:space="0" w:color="auto" w:frame="1"/>
        </w:rPr>
        <w:t>fondi comuni di investimento</w:t>
      </w:r>
      <w:r w:rsidRPr="7F9896B4">
        <w:rPr>
          <w:rFonts w:asciiTheme="minorHAnsi" w:hAnsiTheme="minorHAnsi" w:cstheme="minorBidi"/>
          <w:color w:val="000000"/>
          <w:spacing w:val="3"/>
        </w:rPr>
        <w:t>. I risparmiatori acquisiscono una quota di un fondo, amministrato da una società di gestione. Per la stessa logica, anche le quote di </w:t>
      </w:r>
      <w:r w:rsidRPr="7F9896B4">
        <w:rPr>
          <w:rStyle w:val="Enfasigrassetto"/>
          <w:rFonts w:asciiTheme="minorHAnsi" w:hAnsiTheme="minorHAnsi" w:cstheme="minorBidi"/>
          <w:color w:val="000000"/>
          <w:spacing w:val="3"/>
          <w:bdr w:val="none" w:sz="0" w:space="0" w:color="auto" w:frame="1"/>
        </w:rPr>
        <w:t>ETF</w:t>
      </w:r>
      <w:r w:rsidRPr="7F9896B4">
        <w:rPr>
          <w:rFonts w:asciiTheme="minorHAnsi" w:hAnsiTheme="minorHAnsi" w:cstheme="minorBidi"/>
          <w:color w:val="000000"/>
          <w:spacing w:val="3"/>
        </w:rPr>
        <w:t> sono strumenti finanziari, sempre più utilizzati.</w:t>
      </w:r>
      <w:r w:rsidR="00373D42" w:rsidRPr="7F9896B4">
        <w:rPr>
          <w:rFonts w:asciiTheme="minorHAnsi" w:hAnsiTheme="minorHAnsi" w:cstheme="minorBidi"/>
          <w:color w:val="000000"/>
          <w:spacing w:val="3"/>
        </w:rPr>
        <w:t xml:space="preserve"> Quando si </w:t>
      </w:r>
      <w:r w:rsidR="00C56567" w:rsidRPr="7F9896B4">
        <w:rPr>
          <w:rFonts w:asciiTheme="minorHAnsi" w:hAnsiTheme="minorHAnsi" w:cstheme="minorBidi"/>
          <w:color w:val="000000"/>
          <w:spacing w:val="3"/>
        </w:rPr>
        <w:t>investe in un ETF o in un fondo comune di investimento è come se si comprasse un paniere di titoli</w:t>
      </w:r>
      <w:r w:rsidR="009C0FFF" w:rsidRPr="7F9896B4">
        <w:rPr>
          <w:rFonts w:asciiTheme="minorHAnsi" w:hAnsiTheme="minorHAnsi" w:cstheme="minorBidi"/>
          <w:color w:val="000000"/>
          <w:spacing w:val="3"/>
        </w:rPr>
        <w:t>, diversificando il rischio.</w:t>
      </w:r>
    </w:p>
    <w:p w14:paraId="38459E84" w14:textId="1AC4E797" w:rsidR="0042064D" w:rsidRDefault="0042064D" w:rsidP="00DE65BE">
      <w:pPr>
        <w:pStyle w:val="NormaleWeb"/>
        <w:numPr>
          <w:ilvl w:val="0"/>
          <w:numId w:val="33"/>
        </w:numPr>
        <w:spacing w:before="240" w:beforeAutospacing="0" w:after="240" w:afterAutospacing="0" w:line="276" w:lineRule="auto"/>
        <w:ind w:left="357" w:hanging="357"/>
        <w:textAlignment w:val="baseline"/>
        <w:rPr>
          <w:rFonts w:asciiTheme="minorHAnsi" w:eastAsiaTheme="minorHAnsi" w:hAnsiTheme="minorHAnsi" w:cstheme="minorHAnsi"/>
          <w:b/>
          <w:color w:val="FF0000"/>
          <w:kern w:val="2"/>
          <w:shd w:val="clear" w:color="auto" w:fill="FFFFFF"/>
          <w:lang w:eastAsia="en-US"/>
          <w14:textOutline w14:w="0" w14:cap="flat" w14:cmpd="sng" w14:algn="ctr">
            <w14:noFill/>
            <w14:prstDash w14:val="solid"/>
            <w14:round/>
          </w14:textOutline>
          <w14:props3d w14:extrusionH="57150" w14:contourW="0" w14:prstMaterial="softEdge">
            <w14:bevelT w14:w="25400" w14:h="38100" w14:prst="circle"/>
          </w14:props3d>
          <w14:ligatures w14:val="standardContextual"/>
        </w:rPr>
      </w:pPr>
      <w:r w:rsidRPr="001C17ED">
        <w:rPr>
          <w:rFonts w:asciiTheme="minorHAnsi" w:eastAsiaTheme="minorHAnsi" w:hAnsiTheme="minorHAnsi" w:cstheme="minorHAnsi"/>
          <w:b/>
          <w:color w:val="FF0000"/>
          <w:kern w:val="2"/>
          <w:shd w:val="clear" w:color="auto" w:fill="FFFFFF"/>
          <w:lang w:eastAsia="en-US"/>
          <w14:textOutline w14:w="0" w14:cap="flat" w14:cmpd="sng" w14:algn="ctr">
            <w14:noFill/>
            <w14:prstDash w14:val="solid"/>
            <w14:round/>
          </w14:textOutline>
          <w14:props3d w14:extrusionH="57150" w14:contourW="0" w14:prstMaterial="softEdge">
            <w14:bevelT w14:w="25400" w14:h="38100" w14:prst="circle"/>
          </w14:props3d>
          <w14:ligatures w14:val="standardContextual"/>
        </w:rPr>
        <w:t>Strumenti derivati: futures, swaps, opzioni</w:t>
      </w:r>
      <w:r w:rsidR="001C17ED" w:rsidRPr="001C17ED">
        <w:rPr>
          <w:rFonts w:asciiTheme="minorHAnsi" w:eastAsiaTheme="minorHAnsi" w:hAnsiTheme="minorHAnsi" w:cstheme="minorHAnsi"/>
          <w:b/>
          <w:color w:val="FF0000"/>
          <w:kern w:val="2"/>
          <w:shd w:val="clear" w:color="auto" w:fill="FFFFFF"/>
          <w:lang w:eastAsia="en-US"/>
          <w14:textOutline w14:w="0" w14:cap="flat" w14:cmpd="sng" w14:algn="ctr">
            <w14:noFill/>
            <w14:prstDash w14:val="solid"/>
            <w14:round/>
          </w14:textOutline>
          <w14:props3d w14:extrusionH="57150" w14:contourW="0" w14:prstMaterial="softEdge">
            <w14:bevelT w14:w="25400" w14:h="38100" w14:prst="circle"/>
          </w14:props3d>
          <w14:ligatures w14:val="standardContextual"/>
        </w:rPr>
        <w:t>, warrant</w:t>
      </w:r>
      <w:r w:rsidR="00B6145B">
        <w:rPr>
          <w:rFonts w:asciiTheme="minorHAnsi" w:eastAsiaTheme="minorHAnsi" w:hAnsiTheme="minorHAnsi" w:cstheme="minorHAnsi"/>
          <w:b/>
          <w:color w:val="FF0000"/>
          <w:kern w:val="2"/>
          <w:shd w:val="clear" w:color="auto" w:fill="FFFFFF"/>
          <w:lang w:eastAsia="en-US"/>
          <w14:textOutline w14:w="0" w14:cap="flat" w14:cmpd="sng" w14:algn="ctr">
            <w14:noFill/>
            <w14:prstDash w14:val="solid"/>
            <w14:round/>
          </w14:textOutline>
          <w14:props3d w14:extrusionH="57150" w14:contourW="0" w14:prstMaterial="softEdge">
            <w14:bevelT w14:w="25400" w14:h="38100" w14:prst="circle"/>
          </w14:props3d>
          <w14:ligatures w14:val="standardContextual"/>
        </w:rPr>
        <w:t>s</w:t>
      </w:r>
    </w:p>
    <w:p w14:paraId="6FE6ED47" w14:textId="14746F8F" w:rsidR="00583C31" w:rsidRPr="004D4717" w:rsidRDefault="00583C31" w:rsidP="7F9896B4">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Fonts w:asciiTheme="minorHAnsi" w:hAnsiTheme="minorHAnsi" w:cstheme="minorBidi"/>
          <w:color w:val="000000"/>
          <w:spacing w:val="3"/>
        </w:rPr>
        <w:t>Azioni, obbligazioni e fondi sono strumenti piuttosto conosciuti, ma la gamma di strumenti finanziari non si ferma certo qui. Ce ne sono molti altri, utilizzati per molteplici obiettivi, dal riequilibrio del portafogli alla speculazione</w:t>
      </w:r>
      <w:r w:rsidR="001806B5" w:rsidRPr="7F9896B4">
        <w:rPr>
          <w:rFonts w:asciiTheme="minorHAnsi" w:hAnsiTheme="minorHAnsi" w:cstheme="minorBidi"/>
          <w:color w:val="000000"/>
          <w:spacing w:val="3"/>
        </w:rPr>
        <w:t>.</w:t>
      </w:r>
    </w:p>
    <w:p w14:paraId="2749E33F" w14:textId="1601AC47" w:rsidR="00AA51BC" w:rsidRDefault="00583C31" w:rsidP="7F9896B4">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Fonts w:asciiTheme="minorHAnsi" w:hAnsiTheme="minorHAnsi" w:cstheme="minorBidi"/>
          <w:color w:val="000000"/>
          <w:spacing w:val="3"/>
        </w:rPr>
        <w:t> </w:t>
      </w:r>
    </w:p>
    <w:p w14:paraId="5975830F" w14:textId="4BCEA2AC" w:rsidR="00583C31" w:rsidRPr="004D4717" w:rsidRDefault="00583C31" w:rsidP="7F9896B4">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Style w:val="Enfasigrassetto"/>
          <w:rFonts w:asciiTheme="minorHAnsi" w:hAnsiTheme="minorHAnsi" w:cstheme="minorBidi"/>
          <w:color w:val="000000"/>
          <w:spacing w:val="3"/>
          <w:bdr w:val="none" w:sz="0" w:space="0" w:color="auto" w:frame="1"/>
        </w:rPr>
        <w:t>I futures </w:t>
      </w:r>
      <w:r w:rsidRPr="7F9896B4">
        <w:rPr>
          <w:rFonts w:asciiTheme="minorHAnsi" w:hAnsiTheme="minorHAnsi" w:cstheme="minorBidi"/>
          <w:color w:val="000000"/>
          <w:spacing w:val="3"/>
        </w:rPr>
        <w:t>sono contratti</w:t>
      </w:r>
      <w:r w:rsidR="004F232E" w:rsidRPr="7F9896B4">
        <w:rPr>
          <w:rFonts w:asciiTheme="minorHAnsi" w:hAnsiTheme="minorHAnsi" w:cstheme="minorBidi"/>
          <w:color w:val="000000"/>
          <w:spacing w:val="3"/>
        </w:rPr>
        <w:t xml:space="preserve"> bilaterali standardizzati (con struttura e clausole uniformi), che contengono </w:t>
      </w:r>
      <w:r w:rsidR="004F232E" w:rsidRPr="7F9896B4">
        <w:rPr>
          <w:rFonts w:asciiTheme="minorHAnsi" w:hAnsiTheme="minorHAnsi" w:cstheme="minorBidi"/>
          <w:b/>
          <w:bCs/>
          <w:color w:val="000000"/>
          <w:spacing w:val="3"/>
        </w:rPr>
        <w:t>l’impegno di una parte</w:t>
      </w:r>
      <w:r w:rsidR="004F232E" w:rsidRPr="7F9896B4">
        <w:rPr>
          <w:rFonts w:asciiTheme="minorHAnsi" w:hAnsiTheme="minorHAnsi" w:cstheme="minorBidi"/>
          <w:color w:val="000000"/>
          <w:spacing w:val="3"/>
        </w:rPr>
        <w:t xml:space="preserve"> a comprare o a vendere a una data futura una certa</w:t>
      </w:r>
      <w:r w:rsidR="00D4366C" w:rsidRPr="7F9896B4">
        <w:rPr>
          <w:rFonts w:asciiTheme="minorHAnsi" w:hAnsiTheme="minorHAnsi" w:cstheme="minorBidi"/>
          <w:color w:val="000000"/>
          <w:spacing w:val="3"/>
        </w:rPr>
        <w:t xml:space="preserve"> quantità</w:t>
      </w:r>
      <w:r w:rsidR="004F232E" w:rsidRPr="7F9896B4">
        <w:rPr>
          <w:rFonts w:asciiTheme="minorHAnsi" w:hAnsiTheme="minorHAnsi" w:cstheme="minorBidi"/>
          <w:color w:val="000000"/>
          <w:spacing w:val="3"/>
        </w:rPr>
        <w:t xml:space="preserve"> </w:t>
      </w:r>
      <w:r w:rsidR="00D4366C" w:rsidRPr="7F9896B4">
        <w:rPr>
          <w:rFonts w:asciiTheme="minorHAnsi" w:hAnsiTheme="minorHAnsi" w:cstheme="minorBidi"/>
          <w:color w:val="000000"/>
          <w:spacing w:val="3"/>
        </w:rPr>
        <w:t xml:space="preserve">di titoli o di beni </w:t>
      </w:r>
      <w:r w:rsidR="003C4031" w:rsidRPr="7F9896B4">
        <w:rPr>
          <w:rFonts w:asciiTheme="minorHAnsi" w:hAnsiTheme="minorHAnsi" w:cstheme="minorBidi"/>
          <w:color w:val="000000"/>
          <w:spacing w:val="3"/>
        </w:rPr>
        <w:t>(attività finanziari</w:t>
      </w:r>
      <w:r w:rsidR="00520B9D" w:rsidRPr="7F9896B4">
        <w:rPr>
          <w:rFonts w:asciiTheme="minorHAnsi" w:hAnsiTheme="minorHAnsi" w:cstheme="minorBidi"/>
          <w:color w:val="000000"/>
          <w:spacing w:val="3"/>
        </w:rPr>
        <w:t>e</w:t>
      </w:r>
      <w:r w:rsidR="003C4031" w:rsidRPr="7F9896B4">
        <w:rPr>
          <w:rFonts w:asciiTheme="minorHAnsi" w:hAnsiTheme="minorHAnsi" w:cstheme="minorBidi"/>
          <w:color w:val="000000"/>
          <w:spacing w:val="3"/>
        </w:rPr>
        <w:t xml:space="preserve"> </w:t>
      </w:r>
      <w:r w:rsidR="00520B9D" w:rsidRPr="7F9896B4">
        <w:rPr>
          <w:rFonts w:asciiTheme="minorHAnsi" w:hAnsiTheme="minorHAnsi" w:cstheme="minorBidi"/>
          <w:color w:val="000000"/>
          <w:spacing w:val="3"/>
        </w:rPr>
        <w:t>o</w:t>
      </w:r>
      <w:r w:rsidR="003C4031" w:rsidRPr="7F9896B4">
        <w:rPr>
          <w:rFonts w:asciiTheme="minorHAnsi" w:hAnsiTheme="minorHAnsi" w:cstheme="minorBidi"/>
          <w:color w:val="000000"/>
          <w:spacing w:val="3"/>
        </w:rPr>
        <w:t xml:space="preserve"> attività real</w:t>
      </w:r>
      <w:r w:rsidR="00520B9D" w:rsidRPr="7F9896B4">
        <w:rPr>
          <w:rFonts w:asciiTheme="minorHAnsi" w:hAnsiTheme="minorHAnsi" w:cstheme="minorBidi"/>
          <w:color w:val="000000"/>
          <w:spacing w:val="3"/>
        </w:rPr>
        <w:t>i</w:t>
      </w:r>
      <w:r w:rsidR="003C4031" w:rsidRPr="7F9896B4">
        <w:rPr>
          <w:rFonts w:asciiTheme="minorHAnsi" w:hAnsiTheme="minorHAnsi" w:cstheme="minorBidi"/>
          <w:color w:val="000000"/>
          <w:spacing w:val="3"/>
        </w:rPr>
        <w:t>)</w:t>
      </w:r>
      <w:r w:rsidR="00520B9D" w:rsidRPr="7F9896B4">
        <w:rPr>
          <w:rFonts w:asciiTheme="minorHAnsi" w:hAnsiTheme="minorHAnsi" w:cstheme="minorBidi"/>
          <w:color w:val="000000"/>
          <w:spacing w:val="3"/>
        </w:rPr>
        <w:t xml:space="preserve"> </w:t>
      </w:r>
      <w:r w:rsidR="004F232E" w:rsidRPr="7F9896B4">
        <w:rPr>
          <w:rFonts w:asciiTheme="minorHAnsi" w:hAnsiTheme="minorHAnsi" w:cstheme="minorBidi"/>
          <w:color w:val="000000"/>
          <w:spacing w:val="3"/>
        </w:rPr>
        <w:t>a un prezzo fissato alla stipula del contratto</w:t>
      </w:r>
      <w:r w:rsidRPr="7F9896B4">
        <w:rPr>
          <w:rFonts w:asciiTheme="minorHAnsi" w:hAnsiTheme="minorHAnsi" w:cstheme="minorBidi"/>
          <w:color w:val="000000"/>
          <w:spacing w:val="3"/>
        </w:rPr>
        <w:t xml:space="preserve">. I futures sono quindi strumenti che </w:t>
      </w:r>
      <w:r w:rsidRPr="7F9896B4">
        <w:rPr>
          <w:rFonts w:asciiTheme="minorHAnsi" w:hAnsiTheme="minorHAnsi" w:cstheme="minorBidi"/>
          <w:b/>
          <w:bCs/>
          <w:color w:val="000000"/>
          <w:spacing w:val="3"/>
        </w:rPr>
        <w:t>tentano di prevedere e anticipare rialzi o ribassi futuri</w:t>
      </w:r>
      <w:r w:rsidRPr="7F9896B4">
        <w:rPr>
          <w:rFonts w:asciiTheme="minorHAnsi" w:hAnsiTheme="minorHAnsi" w:cstheme="minorBidi"/>
          <w:color w:val="000000"/>
          <w:spacing w:val="3"/>
        </w:rPr>
        <w:t>.</w:t>
      </w:r>
    </w:p>
    <w:p w14:paraId="02484039" w14:textId="77777777" w:rsidR="00AA51BC" w:rsidRDefault="00AA51BC" w:rsidP="7F9896B4">
      <w:pPr>
        <w:pStyle w:val="NormaleWeb"/>
        <w:spacing w:before="0" w:beforeAutospacing="0" w:after="0" w:afterAutospacing="0" w:line="276" w:lineRule="auto"/>
        <w:textAlignment w:val="baseline"/>
        <w:rPr>
          <w:rStyle w:val="Enfasigrassetto"/>
          <w:rFonts w:asciiTheme="minorHAnsi" w:hAnsiTheme="minorHAnsi" w:cstheme="minorBidi"/>
          <w:color w:val="000000"/>
          <w:spacing w:val="3"/>
          <w:bdr w:val="none" w:sz="0" w:space="0" w:color="auto" w:frame="1"/>
        </w:rPr>
      </w:pPr>
    </w:p>
    <w:p w14:paraId="695BD785" w14:textId="394B28C7" w:rsidR="00583C31" w:rsidRPr="004D4717" w:rsidRDefault="00583C31" w:rsidP="7F9896B4">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Style w:val="Enfasigrassetto"/>
          <w:rFonts w:asciiTheme="minorHAnsi" w:hAnsiTheme="minorHAnsi" w:cstheme="minorBidi"/>
          <w:color w:val="000000"/>
          <w:spacing w:val="3"/>
          <w:bdr w:val="none" w:sz="0" w:space="0" w:color="auto" w:frame="1"/>
        </w:rPr>
        <w:t>Gli swaps </w:t>
      </w:r>
      <w:r w:rsidR="00B6145B" w:rsidRPr="7F9896B4">
        <w:rPr>
          <w:rFonts w:asciiTheme="minorHAnsi" w:hAnsiTheme="minorHAnsi" w:cstheme="minorBidi"/>
          <w:color w:val="000000"/>
          <w:spacing w:val="3"/>
        </w:rPr>
        <w:t>sono contratti</w:t>
      </w:r>
      <w:r w:rsidR="0075007C" w:rsidRPr="7F9896B4">
        <w:rPr>
          <w:rFonts w:asciiTheme="minorHAnsi" w:hAnsiTheme="minorHAnsi" w:cstheme="minorBidi"/>
          <w:color w:val="000000"/>
          <w:spacing w:val="3"/>
        </w:rPr>
        <w:t xml:space="preserve"> a termine con i quali le parti, solitamente banche, imprese ed enti pubblici, si scambiano determinati </w:t>
      </w:r>
      <w:r w:rsidR="0075007C" w:rsidRPr="7F9896B4">
        <w:rPr>
          <w:rFonts w:asciiTheme="minorHAnsi" w:hAnsiTheme="minorHAnsi" w:cstheme="minorBidi"/>
          <w:b/>
          <w:bCs/>
          <w:color w:val="000000"/>
          <w:spacing w:val="3"/>
        </w:rPr>
        <w:t>flussi finanziari di cassa</w:t>
      </w:r>
      <w:r w:rsidR="0075007C" w:rsidRPr="7F9896B4">
        <w:rPr>
          <w:rFonts w:asciiTheme="minorHAnsi" w:hAnsiTheme="minorHAnsi" w:cstheme="minorBidi"/>
          <w:color w:val="000000"/>
          <w:spacing w:val="3"/>
        </w:rPr>
        <w:t>.</w:t>
      </w:r>
    </w:p>
    <w:p w14:paraId="64744952" w14:textId="77777777" w:rsidR="00940616" w:rsidRDefault="00940616" w:rsidP="7F9896B4">
      <w:pPr>
        <w:pStyle w:val="NormaleWeb"/>
        <w:spacing w:before="0" w:beforeAutospacing="0" w:after="0" w:afterAutospacing="0" w:line="276" w:lineRule="auto"/>
        <w:textAlignment w:val="baseline"/>
        <w:rPr>
          <w:rStyle w:val="Enfasigrassetto"/>
          <w:rFonts w:asciiTheme="minorHAnsi" w:hAnsiTheme="minorHAnsi" w:cstheme="minorBidi"/>
          <w:color w:val="000000"/>
          <w:spacing w:val="3"/>
          <w:bdr w:val="none" w:sz="0" w:space="0" w:color="auto" w:frame="1"/>
        </w:rPr>
      </w:pPr>
    </w:p>
    <w:p w14:paraId="443FFEAB" w14:textId="7BD98FF3" w:rsidR="00583C31" w:rsidRDefault="00583C31" w:rsidP="7F9896B4">
      <w:pPr>
        <w:pStyle w:val="NormaleWeb"/>
        <w:spacing w:before="0" w:beforeAutospacing="0" w:after="0" w:afterAutospacing="0" w:line="276" w:lineRule="auto"/>
        <w:textAlignment w:val="baseline"/>
        <w:rPr>
          <w:rStyle w:val="Enfasigrassetto"/>
          <w:rFonts w:asciiTheme="minorHAnsi" w:hAnsiTheme="minorHAnsi" w:cstheme="minorBidi"/>
          <w:b w:val="0"/>
          <w:bCs w:val="0"/>
          <w:color w:val="000000"/>
          <w:spacing w:val="3"/>
          <w:bdr w:val="none" w:sz="0" w:space="0" w:color="auto" w:frame="1"/>
        </w:rPr>
      </w:pPr>
      <w:r w:rsidRPr="7F9896B4">
        <w:rPr>
          <w:rStyle w:val="Enfasigrassetto"/>
          <w:rFonts w:asciiTheme="minorHAnsi" w:hAnsiTheme="minorHAnsi" w:cstheme="minorBidi"/>
          <w:color w:val="000000"/>
          <w:spacing w:val="3"/>
          <w:bdr w:val="none" w:sz="0" w:space="0" w:color="auto" w:frame="1"/>
        </w:rPr>
        <w:t>Le opzioni</w:t>
      </w:r>
      <w:r w:rsidRPr="7F9896B4">
        <w:rPr>
          <w:rFonts w:asciiTheme="minorHAnsi" w:hAnsiTheme="minorHAnsi" w:cstheme="minorBidi"/>
          <w:color w:val="000000"/>
          <w:spacing w:val="3"/>
        </w:rPr>
        <w:t> sono strumenti finanziari che conferiscono </w:t>
      </w:r>
      <w:r w:rsidRPr="7F9896B4">
        <w:rPr>
          <w:rStyle w:val="Enfasigrassetto"/>
          <w:rFonts w:asciiTheme="minorHAnsi" w:hAnsiTheme="minorHAnsi" w:cstheme="minorBidi"/>
          <w:color w:val="000000"/>
          <w:spacing w:val="3"/>
          <w:bdr w:val="none" w:sz="0" w:space="0" w:color="auto" w:frame="1"/>
        </w:rPr>
        <w:t>il diritto di comprare</w:t>
      </w:r>
      <w:r w:rsidRPr="7F9896B4">
        <w:rPr>
          <w:rFonts w:asciiTheme="minorHAnsi" w:hAnsiTheme="minorHAnsi" w:cstheme="minorBidi"/>
          <w:color w:val="000000"/>
          <w:spacing w:val="3"/>
        </w:rPr>
        <w:t> (</w:t>
      </w:r>
      <w:r w:rsidR="00EA5248" w:rsidRPr="7F9896B4">
        <w:rPr>
          <w:rFonts w:asciiTheme="minorHAnsi" w:hAnsiTheme="minorHAnsi" w:cstheme="minorBidi"/>
          <w:i/>
          <w:iCs/>
          <w:color w:val="000000"/>
          <w:spacing w:val="3"/>
        </w:rPr>
        <w:t>call option</w:t>
      </w:r>
      <w:r w:rsidRPr="7F9896B4">
        <w:rPr>
          <w:rFonts w:asciiTheme="minorHAnsi" w:hAnsiTheme="minorHAnsi" w:cstheme="minorBidi"/>
          <w:color w:val="000000"/>
          <w:spacing w:val="3"/>
        </w:rPr>
        <w:t>) </w:t>
      </w:r>
      <w:r w:rsidRPr="7F9896B4">
        <w:rPr>
          <w:rStyle w:val="Enfasigrassetto"/>
          <w:rFonts w:asciiTheme="minorHAnsi" w:hAnsiTheme="minorHAnsi" w:cstheme="minorBidi"/>
          <w:color w:val="000000"/>
          <w:spacing w:val="3"/>
          <w:bdr w:val="none" w:sz="0" w:space="0" w:color="auto" w:frame="1"/>
        </w:rPr>
        <w:t>o vendere </w:t>
      </w:r>
      <w:r w:rsidRPr="7F9896B4">
        <w:rPr>
          <w:rFonts w:asciiTheme="minorHAnsi" w:hAnsiTheme="minorHAnsi" w:cstheme="minorBidi"/>
          <w:color w:val="000000"/>
          <w:spacing w:val="3"/>
        </w:rPr>
        <w:t>(</w:t>
      </w:r>
      <w:r w:rsidR="00EA5248" w:rsidRPr="7F9896B4">
        <w:rPr>
          <w:rFonts w:asciiTheme="minorHAnsi" w:hAnsiTheme="minorHAnsi" w:cstheme="minorBidi"/>
          <w:i/>
          <w:iCs/>
          <w:color w:val="000000"/>
          <w:spacing w:val="3"/>
        </w:rPr>
        <w:t xml:space="preserve">put </w:t>
      </w:r>
      <w:r w:rsidR="00EA5248" w:rsidRPr="7F9896B4">
        <w:rPr>
          <w:rFonts w:asciiTheme="minorHAnsi" w:hAnsiTheme="minorHAnsi" w:cstheme="minorBidi"/>
          <w:color w:val="000000"/>
          <w:spacing w:val="3"/>
        </w:rPr>
        <w:t xml:space="preserve">option) </w:t>
      </w:r>
      <w:r w:rsidRPr="7F9896B4">
        <w:rPr>
          <w:rStyle w:val="Enfasigrassetto"/>
          <w:rFonts w:asciiTheme="minorHAnsi" w:hAnsiTheme="minorHAnsi" w:cstheme="minorBidi"/>
          <w:color w:val="000000"/>
          <w:spacing w:val="3"/>
          <w:bdr w:val="none" w:sz="0" w:space="0" w:color="auto" w:frame="1"/>
        </w:rPr>
        <w:t xml:space="preserve">un asset a una data </w:t>
      </w:r>
      <w:r w:rsidR="00443CD9" w:rsidRPr="7F9896B4">
        <w:rPr>
          <w:rStyle w:val="Enfasigrassetto"/>
          <w:rFonts w:asciiTheme="minorHAnsi" w:hAnsiTheme="minorHAnsi" w:cstheme="minorBidi"/>
          <w:color w:val="000000"/>
          <w:spacing w:val="3"/>
          <w:bdr w:val="none" w:sz="0" w:space="0" w:color="auto" w:frame="1"/>
        </w:rPr>
        <w:t xml:space="preserve">futura, a un prezzo prestabilito e </w:t>
      </w:r>
      <w:r w:rsidR="00636F96" w:rsidRPr="7F9896B4">
        <w:rPr>
          <w:rStyle w:val="Enfasigrassetto"/>
          <w:rFonts w:asciiTheme="minorHAnsi" w:hAnsiTheme="minorHAnsi" w:cstheme="minorBidi"/>
          <w:color w:val="000000"/>
          <w:spacing w:val="3"/>
          <w:bdr w:val="none" w:sz="0" w:space="0" w:color="auto" w:frame="1"/>
        </w:rPr>
        <w:t>dietro pagamento di un premio</w:t>
      </w:r>
      <w:r w:rsidR="00406AD2" w:rsidRPr="7F9896B4">
        <w:rPr>
          <w:rStyle w:val="Enfasigrassetto"/>
          <w:rFonts w:asciiTheme="minorHAnsi" w:hAnsiTheme="minorHAnsi" w:cstheme="minorBidi"/>
          <w:b w:val="0"/>
          <w:bCs w:val="0"/>
          <w:color w:val="000000"/>
          <w:spacing w:val="3"/>
          <w:bdr w:val="none" w:sz="0" w:space="0" w:color="auto" w:frame="1"/>
        </w:rPr>
        <w:t>.</w:t>
      </w:r>
    </w:p>
    <w:p w14:paraId="64033C99" w14:textId="77777777" w:rsidR="00940616" w:rsidRDefault="00940616" w:rsidP="7F9896B4">
      <w:pPr>
        <w:pStyle w:val="NormaleWeb"/>
        <w:spacing w:before="0" w:beforeAutospacing="0" w:after="0" w:afterAutospacing="0" w:line="276" w:lineRule="auto"/>
        <w:textAlignment w:val="baseline"/>
        <w:rPr>
          <w:rStyle w:val="Enfasigrassetto"/>
          <w:rFonts w:asciiTheme="minorHAnsi" w:hAnsiTheme="minorHAnsi" w:cstheme="minorBidi"/>
          <w:b w:val="0"/>
          <w:bCs w:val="0"/>
          <w:color w:val="000000"/>
          <w:spacing w:val="3"/>
          <w:bdr w:val="none" w:sz="0" w:space="0" w:color="auto" w:frame="1"/>
        </w:rPr>
      </w:pPr>
    </w:p>
    <w:p w14:paraId="79676F42" w14:textId="7255C39F" w:rsidR="00940616" w:rsidRDefault="00940616" w:rsidP="7F9896B4">
      <w:pPr>
        <w:pStyle w:val="NormaleWeb"/>
        <w:spacing w:before="0" w:beforeAutospacing="0" w:after="0" w:afterAutospacing="0" w:line="276" w:lineRule="auto"/>
        <w:textAlignment w:val="baseline"/>
        <w:rPr>
          <w:rStyle w:val="Enfasigrassetto"/>
          <w:rFonts w:asciiTheme="minorHAnsi" w:hAnsiTheme="minorHAnsi" w:cstheme="minorBidi"/>
          <w:b w:val="0"/>
          <w:bCs w:val="0"/>
          <w:color w:val="000000"/>
          <w:spacing w:val="3"/>
          <w:bdr w:val="none" w:sz="0" w:space="0" w:color="auto" w:frame="1"/>
        </w:rPr>
      </w:pPr>
      <w:r w:rsidRPr="7F9896B4">
        <w:rPr>
          <w:rStyle w:val="Enfasigrassetto"/>
          <w:rFonts w:asciiTheme="minorHAnsi" w:hAnsiTheme="minorHAnsi" w:cstheme="minorBidi"/>
          <w:b w:val="0"/>
          <w:bCs w:val="0"/>
          <w:color w:val="000000"/>
          <w:spacing w:val="3"/>
          <w:bdr w:val="none" w:sz="0" w:space="0" w:color="auto" w:frame="1"/>
        </w:rPr>
        <w:t xml:space="preserve">I </w:t>
      </w:r>
      <w:r w:rsidRPr="7F9896B4">
        <w:rPr>
          <w:rStyle w:val="Enfasigrassetto"/>
          <w:rFonts w:asciiTheme="minorHAnsi" w:hAnsiTheme="minorHAnsi" w:cstheme="minorBidi"/>
          <w:color w:val="000000"/>
          <w:spacing w:val="3"/>
          <w:bdr w:val="none" w:sz="0" w:space="0" w:color="auto" w:frame="1"/>
        </w:rPr>
        <w:t xml:space="preserve">warrants </w:t>
      </w:r>
      <w:r w:rsidRPr="7F9896B4">
        <w:rPr>
          <w:rStyle w:val="Enfasigrassetto"/>
          <w:rFonts w:asciiTheme="minorHAnsi" w:hAnsiTheme="minorHAnsi" w:cstheme="minorBidi"/>
          <w:b w:val="0"/>
          <w:bCs w:val="0"/>
          <w:color w:val="000000"/>
          <w:spacing w:val="3"/>
          <w:bdr w:val="none" w:sz="0" w:space="0" w:color="auto" w:frame="1"/>
        </w:rPr>
        <w:t xml:space="preserve">sono certificati che attribuiscono </w:t>
      </w:r>
      <w:r w:rsidR="005A1ADF" w:rsidRPr="7F9896B4">
        <w:rPr>
          <w:rStyle w:val="Enfasigrassetto"/>
          <w:rFonts w:asciiTheme="minorHAnsi" w:hAnsiTheme="minorHAnsi" w:cstheme="minorBidi"/>
          <w:b w:val="0"/>
          <w:bCs w:val="0"/>
          <w:color w:val="000000"/>
          <w:spacing w:val="3"/>
          <w:bdr w:val="none" w:sz="0" w:space="0" w:color="auto" w:frame="1"/>
        </w:rPr>
        <w:t>al possessore il diritto di acquistare, entro una certa scadenza, titoli di nuova emissione (solitamente azioni) o già emessi e disponibili</w:t>
      </w:r>
      <w:r w:rsidR="006306DE" w:rsidRPr="7F9896B4">
        <w:rPr>
          <w:rStyle w:val="Enfasigrassetto"/>
          <w:rFonts w:asciiTheme="minorHAnsi" w:hAnsiTheme="minorHAnsi" w:cstheme="minorBidi"/>
          <w:b w:val="0"/>
          <w:bCs w:val="0"/>
          <w:color w:val="000000"/>
          <w:spacing w:val="3"/>
          <w:bdr w:val="none" w:sz="0" w:space="0" w:color="auto" w:frame="1"/>
        </w:rPr>
        <w:t xml:space="preserve">, a un prezzo prestabilito (detto </w:t>
      </w:r>
      <w:r w:rsidR="006306DE" w:rsidRPr="7F9896B4">
        <w:rPr>
          <w:rStyle w:val="Enfasigrassetto"/>
          <w:rFonts w:asciiTheme="minorHAnsi" w:hAnsiTheme="minorHAnsi" w:cstheme="minorBidi"/>
          <w:b w:val="0"/>
          <w:bCs w:val="0"/>
          <w:i/>
          <w:iCs/>
          <w:color w:val="000000"/>
          <w:spacing w:val="3"/>
          <w:bdr w:val="none" w:sz="0" w:space="0" w:color="auto" w:frame="1"/>
        </w:rPr>
        <w:t>strike price</w:t>
      </w:r>
      <w:r w:rsidR="006306DE" w:rsidRPr="7F9896B4">
        <w:rPr>
          <w:rStyle w:val="Enfasigrassetto"/>
          <w:rFonts w:asciiTheme="minorHAnsi" w:hAnsiTheme="minorHAnsi" w:cstheme="minorBidi"/>
          <w:b w:val="0"/>
          <w:bCs w:val="0"/>
          <w:color w:val="000000"/>
          <w:spacing w:val="3"/>
          <w:bdr w:val="none" w:sz="0" w:space="0" w:color="auto" w:frame="1"/>
        </w:rPr>
        <w:t>).</w:t>
      </w:r>
    </w:p>
    <w:p w14:paraId="503A1E3B" w14:textId="45DA26C5" w:rsidR="00635ABD" w:rsidRPr="00635ABD" w:rsidRDefault="00D04B83" w:rsidP="7F9896B4">
      <w:pPr>
        <w:pStyle w:val="NormaleWeb"/>
        <w:spacing w:before="0" w:beforeAutospacing="0" w:after="0" w:afterAutospacing="0" w:line="276" w:lineRule="auto"/>
        <w:textAlignment w:val="baseline"/>
        <w:rPr>
          <w:rStyle w:val="Enfasigrassetto"/>
          <w:rFonts w:asciiTheme="minorHAnsi" w:hAnsiTheme="minorHAnsi" w:cstheme="minorBidi"/>
          <w:b w:val="0"/>
          <w:bCs w:val="0"/>
          <w:color w:val="000000"/>
          <w:spacing w:val="3"/>
          <w:bdr w:val="none" w:sz="0" w:space="0" w:color="auto" w:frame="1"/>
        </w:rPr>
      </w:pPr>
      <w:r w:rsidRPr="7F9896B4">
        <w:rPr>
          <w:rStyle w:val="Enfasigrassetto"/>
          <w:rFonts w:asciiTheme="minorHAnsi" w:hAnsiTheme="minorHAnsi" w:cstheme="minorBidi"/>
          <w:b w:val="0"/>
          <w:bCs w:val="0"/>
          <w:color w:val="000000"/>
          <w:spacing w:val="3"/>
          <w:bdr w:val="none" w:sz="0" w:space="0" w:color="auto" w:frame="1"/>
        </w:rPr>
        <w:t>Una caratteristica</w:t>
      </w:r>
      <w:r w:rsidR="00635ABD" w:rsidRPr="7F9896B4">
        <w:rPr>
          <w:rStyle w:val="Enfasigrassetto"/>
          <w:rFonts w:asciiTheme="minorHAnsi" w:hAnsiTheme="minorHAnsi" w:cstheme="minorBidi"/>
          <w:b w:val="0"/>
          <w:bCs w:val="0"/>
          <w:color w:val="000000"/>
          <w:spacing w:val="3"/>
          <w:bdr w:val="none" w:sz="0" w:space="0" w:color="auto" w:frame="1"/>
        </w:rPr>
        <w:t xml:space="preserve"> del </w:t>
      </w:r>
      <w:r w:rsidR="00635ABD" w:rsidRPr="7F9896B4">
        <w:rPr>
          <w:rStyle w:val="Enfasigrassetto"/>
          <w:rFonts w:asciiTheme="minorHAnsi" w:hAnsiTheme="minorHAnsi" w:cstheme="minorBidi"/>
          <w:b w:val="0"/>
          <w:bCs w:val="0"/>
          <w:i/>
          <w:iCs/>
          <w:color w:val="000000"/>
          <w:spacing w:val="3"/>
          <w:bdr w:val="none" w:sz="0" w:space="0" w:color="auto" w:frame="1"/>
        </w:rPr>
        <w:t>warrant</w:t>
      </w:r>
      <w:r w:rsidR="00635ABD" w:rsidRPr="7F9896B4">
        <w:rPr>
          <w:rStyle w:val="Enfasigrassetto"/>
          <w:rFonts w:asciiTheme="minorHAnsi" w:hAnsiTheme="minorHAnsi" w:cstheme="minorBidi"/>
          <w:b w:val="0"/>
          <w:bCs w:val="0"/>
          <w:color w:val="000000"/>
          <w:spacing w:val="3"/>
          <w:bdr w:val="none" w:sz="0" w:space="0" w:color="auto" w:frame="1"/>
        </w:rPr>
        <w:t xml:space="preserve"> che lo distingue, per esempio, dai contratti di opzione</w:t>
      </w:r>
      <w:r w:rsidR="009F68F0" w:rsidRPr="7F9896B4">
        <w:rPr>
          <w:rStyle w:val="Enfasigrassetto"/>
          <w:rFonts w:asciiTheme="minorHAnsi" w:hAnsiTheme="minorHAnsi" w:cstheme="minorBidi"/>
          <w:b w:val="0"/>
          <w:bCs w:val="0"/>
          <w:color w:val="000000"/>
          <w:spacing w:val="3"/>
          <w:bdr w:val="none" w:sz="0" w:space="0" w:color="auto" w:frame="1"/>
        </w:rPr>
        <w:t xml:space="preserve">, è il fatto di </w:t>
      </w:r>
      <w:r w:rsidR="009F68F0" w:rsidRPr="7F9896B4">
        <w:rPr>
          <w:rStyle w:val="Enfasigrassetto"/>
          <w:rFonts w:asciiTheme="minorHAnsi" w:hAnsiTheme="minorHAnsi" w:cstheme="minorBidi"/>
          <w:color w:val="000000"/>
          <w:spacing w:val="3"/>
          <w:bdr w:val="none" w:sz="0" w:space="0" w:color="auto" w:frame="1"/>
        </w:rPr>
        <w:t>essere incorporato in un documento negoziabile sul mercato</w:t>
      </w:r>
      <w:r w:rsidR="00DE346F" w:rsidRPr="7F9896B4">
        <w:rPr>
          <w:rStyle w:val="Enfasigrassetto"/>
          <w:rFonts w:asciiTheme="minorHAnsi" w:hAnsiTheme="minorHAnsi" w:cstheme="minorBidi"/>
          <w:b w:val="0"/>
          <w:bCs w:val="0"/>
          <w:color w:val="000000"/>
          <w:spacing w:val="3"/>
          <w:bdr w:val="none" w:sz="0" w:space="0" w:color="auto" w:frame="1"/>
        </w:rPr>
        <w:t>.</w:t>
      </w:r>
    </w:p>
    <w:p w14:paraId="1E574544" w14:textId="77777777" w:rsidR="00826D5E" w:rsidRPr="00406AD2" w:rsidRDefault="00826D5E" w:rsidP="004D4717">
      <w:pPr>
        <w:pStyle w:val="NormaleWeb"/>
        <w:spacing w:before="0" w:beforeAutospacing="0" w:after="0" w:afterAutospacing="0" w:line="276" w:lineRule="auto"/>
        <w:textAlignment w:val="baseline"/>
        <w:rPr>
          <w:rFonts w:asciiTheme="minorHAnsi" w:hAnsiTheme="minorHAnsi" w:cstheme="minorHAnsi"/>
          <w:color w:val="000000"/>
          <w:spacing w:val="3"/>
        </w:rPr>
      </w:pPr>
    </w:p>
    <w:p w14:paraId="045098C5" w14:textId="293EB508" w:rsidR="00583C31" w:rsidRPr="004D4717" w:rsidRDefault="00583C31" w:rsidP="7F9896B4">
      <w:pPr>
        <w:pStyle w:val="NormaleWeb"/>
        <w:spacing w:before="0" w:beforeAutospacing="0" w:after="0" w:afterAutospacing="0" w:line="276" w:lineRule="auto"/>
        <w:textAlignment w:val="baseline"/>
        <w:rPr>
          <w:rFonts w:asciiTheme="minorHAnsi" w:hAnsiTheme="minorHAnsi" w:cstheme="minorBidi"/>
          <w:color w:val="000000"/>
          <w:spacing w:val="3"/>
        </w:rPr>
      </w:pPr>
      <w:r w:rsidRPr="7F9896B4">
        <w:rPr>
          <w:rStyle w:val="Enfasigrassetto"/>
          <w:rFonts w:asciiTheme="minorHAnsi" w:hAnsiTheme="minorHAnsi" w:cstheme="minorBidi"/>
          <w:color w:val="000000"/>
          <w:spacing w:val="3"/>
          <w:bdr w:val="none" w:sz="0" w:space="0" w:color="auto" w:frame="1"/>
        </w:rPr>
        <w:t>Futures, swap</w:t>
      </w:r>
      <w:r w:rsidR="009C25D4" w:rsidRPr="7F9896B4">
        <w:rPr>
          <w:rStyle w:val="Enfasigrassetto"/>
          <w:rFonts w:asciiTheme="minorHAnsi" w:hAnsiTheme="minorHAnsi" w:cstheme="minorBidi"/>
          <w:color w:val="000000"/>
          <w:spacing w:val="3"/>
          <w:bdr w:val="none" w:sz="0" w:space="0" w:color="auto" w:frame="1"/>
        </w:rPr>
        <w:t xml:space="preserve">, </w:t>
      </w:r>
      <w:r w:rsidRPr="7F9896B4">
        <w:rPr>
          <w:rStyle w:val="Enfasigrassetto"/>
          <w:rFonts w:asciiTheme="minorHAnsi" w:hAnsiTheme="minorHAnsi" w:cstheme="minorBidi"/>
          <w:color w:val="000000"/>
          <w:spacing w:val="3"/>
          <w:bdr w:val="none" w:sz="0" w:space="0" w:color="auto" w:frame="1"/>
        </w:rPr>
        <w:t>opzioni</w:t>
      </w:r>
      <w:r w:rsidR="009C25D4" w:rsidRPr="7F9896B4">
        <w:rPr>
          <w:rStyle w:val="Enfasigrassetto"/>
          <w:rFonts w:asciiTheme="minorHAnsi" w:hAnsiTheme="minorHAnsi" w:cstheme="minorBidi"/>
          <w:color w:val="000000"/>
          <w:spacing w:val="3"/>
          <w:bdr w:val="none" w:sz="0" w:space="0" w:color="auto" w:frame="1"/>
        </w:rPr>
        <w:t xml:space="preserve"> e warrants</w:t>
      </w:r>
      <w:r w:rsidRPr="7F9896B4">
        <w:rPr>
          <w:rStyle w:val="Enfasigrassetto"/>
          <w:rFonts w:asciiTheme="minorHAnsi" w:hAnsiTheme="minorHAnsi" w:cstheme="minorBidi"/>
          <w:color w:val="000000"/>
          <w:spacing w:val="3"/>
          <w:bdr w:val="none" w:sz="0" w:space="0" w:color="auto" w:frame="1"/>
        </w:rPr>
        <w:t xml:space="preserve"> sono tutti strumenti derivati</w:t>
      </w:r>
      <w:r w:rsidRPr="7F9896B4">
        <w:rPr>
          <w:rFonts w:asciiTheme="minorHAnsi" w:hAnsiTheme="minorHAnsi" w:cstheme="minorBidi"/>
          <w:color w:val="000000"/>
          <w:spacing w:val="3"/>
        </w:rPr>
        <w:t> che possono riguardare altri strumenti finanziari, valute, materie prime, indici.   </w:t>
      </w:r>
    </w:p>
    <w:p w14:paraId="38465A94" w14:textId="4F712CBF" w:rsidR="00DB2C08" w:rsidRDefault="00DB2C08" w:rsidP="7F9896B4">
      <w:pPr>
        <w:rPr>
          <w:sz w:val="20"/>
          <w:szCs w:val="20"/>
        </w:rPr>
      </w:pPr>
    </w:p>
    <w:p w14:paraId="13B44552" w14:textId="77777777" w:rsidR="001173CC" w:rsidRDefault="001173CC" w:rsidP="00D03AA0">
      <w:pPr>
        <w:spacing w:line="240" w:lineRule="auto"/>
        <w:rPr>
          <w:sz w:val="20"/>
          <w:szCs w:val="20"/>
        </w:rPr>
      </w:pPr>
    </w:p>
    <w:p w14:paraId="022D389E" w14:textId="2B48676B" w:rsidR="00012BA1" w:rsidRPr="009E0AFC" w:rsidRDefault="3F9DFEE2" w:rsidP="00D03AA0">
      <w:pPr>
        <w:spacing w:line="240" w:lineRule="auto"/>
        <w:rPr>
          <w:rStyle w:val="Collegamentoipertestuale"/>
          <w:sz w:val="20"/>
          <w:szCs w:val="20"/>
        </w:rPr>
      </w:pPr>
      <w:r w:rsidRPr="5B86B77E">
        <w:rPr>
          <w:sz w:val="20"/>
          <w:szCs w:val="20"/>
        </w:rPr>
        <w:t xml:space="preserve">Fonti: </w:t>
      </w:r>
      <w:hyperlink r:id="rId31">
        <w:r w:rsidRPr="5B86B77E">
          <w:rPr>
            <w:rStyle w:val="Collegamentoipertestuale"/>
            <w:sz w:val="20"/>
            <w:szCs w:val="20"/>
          </w:rPr>
          <w:t>https://am.pictet/it/blog/articoli/guida-alla-finanza/guida-agli-strumenti-finanziari-cosa-sono-e-quali-sono-i-piu-comuni-oggi</w:t>
        </w:r>
      </w:hyperlink>
    </w:p>
    <w:p w14:paraId="579BE82E" w14:textId="6CDCC48C" w:rsidR="009948A9" w:rsidRPr="009E0AFC" w:rsidRDefault="00000000" w:rsidP="00D03AA0">
      <w:pPr>
        <w:spacing w:line="240" w:lineRule="auto"/>
        <w:rPr>
          <w:rStyle w:val="Collegamentoipertestuale"/>
          <w:sz w:val="20"/>
          <w:szCs w:val="20"/>
        </w:rPr>
      </w:pPr>
      <w:hyperlink r:id="rId32" w:history="1">
        <w:r w:rsidR="00012BA1" w:rsidRPr="009E0AFC">
          <w:rPr>
            <w:rStyle w:val="Collegamentoipertestuale"/>
            <w:sz w:val="20"/>
            <w:szCs w:val="20"/>
          </w:rPr>
          <w:t>https://www.bancadicherasco.it/blog/strumenti-finanziari-cosa-e-quali-sono/</w:t>
        </w:r>
      </w:hyperlink>
    </w:p>
    <w:p w14:paraId="0A932444" w14:textId="18D63FE9" w:rsidR="001E3D7B" w:rsidRPr="009E0AFC" w:rsidRDefault="00235DE0" w:rsidP="006311E9">
      <w:pPr>
        <w:spacing w:after="240" w:line="240" w:lineRule="auto"/>
        <w:rPr>
          <w:rStyle w:val="Collegamentoipertestuale"/>
          <w:color w:val="auto"/>
          <w:sz w:val="20"/>
          <w:szCs w:val="20"/>
          <w:u w:val="none"/>
        </w:rPr>
      </w:pPr>
      <w:r w:rsidRPr="7F9896B4">
        <w:rPr>
          <w:rStyle w:val="Collegamentoipertestuale"/>
          <w:color w:val="auto"/>
          <w:sz w:val="20"/>
          <w:szCs w:val="20"/>
          <w:u w:val="none"/>
        </w:rPr>
        <w:t>Sussidiario “Economia Dinamica”</w:t>
      </w:r>
      <w:r w:rsidR="0093432B" w:rsidRPr="7F9896B4">
        <w:rPr>
          <w:rStyle w:val="Collegamentoipertestuale"/>
          <w:color w:val="auto"/>
          <w:sz w:val="20"/>
          <w:szCs w:val="20"/>
          <w:u w:val="none"/>
        </w:rPr>
        <w:t xml:space="preserve"> lettera A</w:t>
      </w:r>
      <w:r w:rsidR="00FB2E30" w:rsidRPr="7F9896B4">
        <w:rPr>
          <w:rStyle w:val="Collegamentoipertestuale"/>
          <w:color w:val="auto"/>
          <w:sz w:val="20"/>
          <w:szCs w:val="20"/>
          <w:u w:val="none"/>
        </w:rPr>
        <w:t xml:space="preserve"> </w:t>
      </w:r>
      <w:r w:rsidRPr="7F9896B4">
        <w:rPr>
          <w:rStyle w:val="Collegamentoipertestuale"/>
          <w:color w:val="auto"/>
          <w:sz w:val="20"/>
          <w:szCs w:val="20"/>
          <w:u w:val="none"/>
        </w:rPr>
        <w:t xml:space="preserve">edito da Rizzoli </w:t>
      </w:r>
      <w:proofErr w:type="spellStart"/>
      <w:r w:rsidRPr="7F9896B4">
        <w:rPr>
          <w:rStyle w:val="Collegamentoipertestuale"/>
          <w:color w:val="auto"/>
          <w:sz w:val="20"/>
          <w:szCs w:val="20"/>
          <w:u w:val="none"/>
        </w:rPr>
        <w:t>Education</w:t>
      </w:r>
      <w:proofErr w:type="spellEnd"/>
      <w:r w:rsidR="008B4BB0" w:rsidRPr="7F9896B4">
        <w:rPr>
          <w:rStyle w:val="Collegamentoipertestuale"/>
          <w:color w:val="auto"/>
          <w:sz w:val="20"/>
          <w:szCs w:val="20"/>
          <w:u w:val="none"/>
        </w:rPr>
        <w:t xml:space="preserve"> pag. 414-415</w:t>
      </w:r>
    </w:p>
    <w:p w14:paraId="192EED2F" w14:textId="1342A112" w:rsidR="05A91D08" w:rsidRPr="001E76AF" w:rsidRDefault="05A91D08" w:rsidP="005213D0">
      <w:pPr>
        <w:pStyle w:val="Paragrafoelenco"/>
        <w:numPr>
          <w:ilvl w:val="0"/>
          <w:numId w:val="2"/>
        </w:numPr>
        <w:spacing w:before="600" w:line="276" w:lineRule="auto"/>
        <w:ind w:left="357" w:hanging="357"/>
        <w:rPr>
          <w:rFonts w:cstheme="minorHAnsi"/>
          <w:b/>
          <w:bCs/>
          <w:outline/>
          <w:color w:val="6D176F"/>
          <w:sz w:val="32"/>
          <w:szCs w:val="32"/>
          <w14:shadow w14:blurRad="0" w14:dist="38100" w14:dir="2700000" w14:sx="100000" w14:sy="100000" w14:kx="0" w14:ky="0" w14:algn="tl">
            <w14:srgbClr w14:val="6D176F"/>
          </w14:shadow>
          <w14:reflection w14:blurRad="6350" w14:stA="55000" w14:stPos="0" w14:endA="50" w14:endPos="85000" w14:dist="60007" w14:dir="5400000" w14:fadeDir="5400000" w14:sx="100000" w14:sy="-100000" w14:kx="0" w14:ky="0" w14:algn="bl"/>
          <w14:textOutline w14:w="6604" w14:cap="flat" w14:cmpd="sng" w14:algn="ctr">
            <w14:solidFill>
              <w14:srgbClr w14:val="6D176F"/>
            </w14:solidFill>
            <w14:prstDash w14:val="solid"/>
            <w14:round/>
          </w14:textOutline>
          <w14:textFill>
            <w14:solidFill>
              <w14:srgbClr w14:val="FFFFFF"/>
            </w14:solidFill>
          </w14:textFill>
        </w:rPr>
      </w:pPr>
      <w:r w:rsidRPr="001E76AF">
        <w:rPr>
          <w:rFonts w:cstheme="minorHAnsi"/>
          <w:b/>
          <w:bCs/>
          <w:outline/>
          <w:color w:val="6D176F"/>
          <w:sz w:val="32"/>
          <w:szCs w:val="32"/>
          <w14:shadow w14:blurRad="0" w14:dist="38100" w14:dir="2700000" w14:sx="100000" w14:sy="100000" w14:kx="0" w14:ky="0" w14:algn="tl">
            <w14:srgbClr w14:val="6D176F"/>
          </w14:shadow>
          <w14:reflection w14:blurRad="6350" w14:stA="55000" w14:stPos="0" w14:endA="50" w14:endPos="85000" w14:dist="60007" w14:dir="5400000" w14:fadeDir="5400000" w14:sx="100000" w14:sy="-100000" w14:kx="0" w14:ky="0" w14:algn="bl"/>
          <w14:textOutline w14:w="6604" w14:cap="flat" w14:cmpd="sng" w14:algn="ctr">
            <w14:solidFill>
              <w14:srgbClr w14:val="6D176F"/>
            </w14:solidFill>
            <w14:prstDash w14:val="solid"/>
            <w14:round/>
          </w14:textOutline>
          <w14:textFill>
            <w14:solidFill>
              <w14:srgbClr w14:val="FFFFFF"/>
            </w14:solidFill>
          </w14:textFill>
        </w:rPr>
        <w:lastRenderedPageBreak/>
        <w:t xml:space="preserve">Borsa e finanza sostenibile </w:t>
      </w:r>
    </w:p>
    <w:p w14:paraId="666A9DD4" w14:textId="77777777" w:rsidR="0084586E" w:rsidRDefault="3D311A5A" w:rsidP="0034260A">
      <w:pPr>
        <w:spacing w:after="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Per "</w:t>
      </w:r>
      <w:r w:rsidRPr="00ED5783">
        <w:rPr>
          <w:rFonts w:eastAsiaTheme="minorEastAsia"/>
          <w:b/>
          <w:color w:val="000000" w:themeColor="text1"/>
          <w:sz w:val="24"/>
          <w:szCs w:val="24"/>
          <w:lang w:eastAsia="it-IT"/>
        </w:rPr>
        <w:t>finanza sostenibile</w:t>
      </w:r>
      <w:r w:rsidRPr="7F9896B4">
        <w:rPr>
          <w:rFonts w:eastAsiaTheme="minorEastAsia"/>
          <w:color w:val="000000" w:themeColor="text1"/>
          <w:sz w:val="24"/>
          <w:szCs w:val="24"/>
          <w:lang w:eastAsia="it-IT"/>
        </w:rPr>
        <w:t>" si intende la finanza che tiene in considerazione fattori di tipo ambientale (</w:t>
      </w:r>
      <w:proofErr w:type="spellStart"/>
      <w:r w:rsidRPr="00ED5783">
        <w:rPr>
          <w:rFonts w:eastAsiaTheme="minorEastAsia"/>
          <w:b/>
          <w:color w:val="000000" w:themeColor="text1"/>
          <w:sz w:val="24"/>
          <w:szCs w:val="24"/>
          <w:lang w:eastAsia="it-IT"/>
        </w:rPr>
        <w:t>Environmental</w:t>
      </w:r>
      <w:proofErr w:type="spellEnd"/>
      <w:r w:rsidRPr="7F9896B4">
        <w:rPr>
          <w:rFonts w:eastAsiaTheme="minorEastAsia"/>
          <w:color w:val="000000" w:themeColor="text1"/>
          <w:sz w:val="24"/>
          <w:szCs w:val="24"/>
          <w:lang w:eastAsia="it-IT"/>
        </w:rPr>
        <w:t>), sociale (</w:t>
      </w:r>
      <w:r w:rsidRPr="00ED5783">
        <w:rPr>
          <w:rFonts w:eastAsiaTheme="minorEastAsia"/>
          <w:b/>
          <w:color w:val="000000" w:themeColor="text1"/>
          <w:sz w:val="24"/>
          <w:szCs w:val="24"/>
          <w:lang w:eastAsia="it-IT"/>
        </w:rPr>
        <w:t>Social</w:t>
      </w:r>
      <w:r w:rsidRPr="7F9896B4">
        <w:rPr>
          <w:rFonts w:eastAsiaTheme="minorEastAsia"/>
          <w:color w:val="000000" w:themeColor="text1"/>
          <w:sz w:val="24"/>
          <w:szCs w:val="24"/>
          <w:lang w:eastAsia="it-IT"/>
        </w:rPr>
        <w:t>) e di governo societario (</w:t>
      </w:r>
      <w:r w:rsidRPr="00ED5783">
        <w:rPr>
          <w:rFonts w:eastAsiaTheme="minorEastAsia"/>
          <w:b/>
          <w:color w:val="000000" w:themeColor="text1"/>
          <w:sz w:val="24"/>
          <w:szCs w:val="24"/>
          <w:lang w:eastAsia="it-IT"/>
        </w:rPr>
        <w:t>Governance</w:t>
      </w:r>
      <w:r w:rsidRPr="7F9896B4">
        <w:rPr>
          <w:rFonts w:eastAsiaTheme="minorEastAsia"/>
          <w:color w:val="000000" w:themeColor="text1"/>
          <w:sz w:val="24"/>
          <w:szCs w:val="24"/>
          <w:lang w:eastAsia="it-IT"/>
        </w:rPr>
        <w:t>)</w:t>
      </w:r>
      <w:r w:rsidR="0084586E">
        <w:rPr>
          <w:rFonts w:eastAsiaTheme="minorEastAsia"/>
          <w:color w:val="000000" w:themeColor="text1"/>
          <w:sz w:val="24"/>
          <w:szCs w:val="24"/>
          <w:lang w:eastAsia="it-IT"/>
        </w:rPr>
        <w:t xml:space="preserve">; i </w:t>
      </w:r>
      <w:r w:rsidRPr="7F9896B4">
        <w:rPr>
          <w:rFonts w:eastAsiaTheme="minorEastAsia"/>
          <w:color w:val="000000" w:themeColor="text1"/>
          <w:sz w:val="24"/>
          <w:szCs w:val="24"/>
          <w:lang w:eastAsia="it-IT"/>
        </w:rPr>
        <w:t>cosiddetti fattori ESG</w:t>
      </w:r>
      <w:r w:rsidR="0084586E">
        <w:rPr>
          <w:rFonts w:eastAsiaTheme="minorEastAsia"/>
          <w:color w:val="000000" w:themeColor="text1"/>
          <w:sz w:val="24"/>
          <w:szCs w:val="24"/>
          <w:lang w:eastAsia="it-IT"/>
        </w:rPr>
        <w:t>.</w:t>
      </w:r>
    </w:p>
    <w:p w14:paraId="15DF83B5" w14:textId="77777777" w:rsidR="005A50C4" w:rsidRDefault="3D311A5A" w:rsidP="0034260A">
      <w:pPr>
        <w:spacing w:after="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La finanza sostenibile è</w:t>
      </w:r>
      <w:r w:rsidR="00152232">
        <w:rPr>
          <w:rFonts w:eastAsiaTheme="minorEastAsia"/>
          <w:color w:val="000000" w:themeColor="text1"/>
          <w:sz w:val="24"/>
          <w:szCs w:val="24"/>
          <w:lang w:eastAsia="it-IT"/>
        </w:rPr>
        <w:t>,</w:t>
      </w:r>
      <w:r w:rsidRPr="7F9896B4">
        <w:rPr>
          <w:rFonts w:eastAsiaTheme="minorEastAsia"/>
          <w:color w:val="000000" w:themeColor="text1"/>
          <w:sz w:val="24"/>
          <w:szCs w:val="24"/>
          <w:lang w:eastAsia="it-IT"/>
        </w:rPr>
        <w:t xml:space="preserve"> dunque</w:t>
      </w:r>
      <w:r w:rsidR="00152232">
        <w:rPr>
          <w:rFonts w:eastAsiaTheme="minorEastAsia"/>
          <w:color w:val="000000" w:themeColor="text1"/>
          <w:sz w:val="24"/>
          <w:szCs w:val="24"/>
          <w:lang w:eastAsia="it-IT"/>
        </w:rPr>
        <w:t>,</w:t>
      </w:r>
      <w:r w:rsidRPr="7F9896B4">
        <w:rPr>
          <w:rFonts w:eastAsiaTheme="minorEastAsia"/>
          <w:color w:val="000000" w:themeColor="text1"/>
          <w:sz w:val="24"/>
          <w:szCs w:val="24"/>
          <w:lang w:eastAsia="it-IT"/>
        </w:rPr>
        <w:t xml:space="preserve"> l'applicazione del concetto di </w:t>
      </w:r>
      <w:hyperlink r:id="rId33">
        <w:r w:rsidRPr="7F9896B4">
          <w:rPr>
            <w:rFonts w:eastAsiaTheme="minorEastAsia"/>
            <w:color w:val="000000" w:themeColor="text1"/>
            <w:sz w:val="24"/>
            <w:szCs w:val="24"/>
            <w:lang w:eastAsia="it-IT"/>
          </w:rPr>
          <w:t xml:space="preserve">sviluppo sostenibile </w:t>
        </w:r>
      </w:hyperlink>
      <w:r w:rsidRPr="7F9896B4">
        <w:rPr>
          <w:rFonts w:eastAsiaTheme="minorEastAsia"/>
          <w:color w:val="000000" w:themeColor="text1"/>
          <w:sz w:val="24"/>
          <w:szCs w:val="24"/>
          <w:lang w:eastAsia="it-IT"/>
        </w:rPr>
        <w:t xml:space="preserve">all'attività finanziaria. </w:t>
      </w:r>
    </w:p>
    <w:p w14:paraId="42700375" w14:textId="3ACC83A2" w:rsidR="00AC5762" w:rsidRDefault="005A50C4" w:rsidP="0034260A">
      <w:pPr>
        <w:spacing w:after="0" w:line="276" w:lineRule="auto"/>
        <w:rPr>
          <w:rFonts w:eastAsiaTheme="minorEastAsia"/>
          <w:color w:val="000000" w:themeColor="text1"/>
          <w:sz w:val="24"/>
          <w:szCs w:val="24"/>
          <w:lang w:eastAsia="it-IT"/>
        </w:rPr>
      </w:pPr>
      <w:r>
        <w:rPr>
          <w:rFonts w:eastAsiaTheme="minorEastAsia"/>
          <w:color w:val="000000" w:themeColor="text1"/>
          <w:sz w:val="24"/>
          <w:szCs w:val="24"/>
          <w:lang w:eastAsia="it-IT"/>
        </w:rPr>
        <w:t>I</w:t>
      </w:r>
      <w:r w:rsidR="3D311A5A" w:rsidRPr="7F9896B4">
        <w:rPr>
          <w:rFonts w:eastAsiaTheme="minorEastAsia"/>
          <w:color w:val="000000" w:themeColor="text1"/>
          <w:sz w:val="24"/>
          <w:szCs w:val="24"/>
          <w:lang w:eastAsia="it-IT"/>
        </w:rPr>
        <w:t xml:space="preserve"> fattori di tipo ambientale includono questioni come quelle della </w:t>
      </w:r>
      <w:r w:rsidR="3D311A5A" w:rsidRPr="00C9026C">
        <w:rPr>
          <w:rFonts w:eastAsiaTheme="minorEastAsia"/>
          <w:color w:val="000000" w:themeColor="text1"/>
          <w:sz w:val="24"/>
          <w:szCs w:val="24"/>
          <w:lang w:eastAsia="it-IT"/>
        </w:rPr>
        <w:t xml:space="preserve">mitigazione </w:t>
      </w:r>
      <w:r w:rsidR="3D311A5A" w:rsidRPr="7F9896B4">
        <w:rPr>
          <w:rFonts w:eastAsiaTheme="minorEastAsia"/>
          <w:color w:val="000000" w:themeColor="text1"/>
          <w:sz w:val="24"/>
          <w:szCs w:val="24"/>
          <w:lang w:eastAsia="it-IT"/>
        </w:rPr>
        <w:t xml:space="preserve">dei </w:t>
      </w:r>
      <w:r w:rsidR="3D311A5A" w:rsidRPr="00C9026C">
        <w:rPr>
          <w:rFonts w:eastAsiaTheme="minorEastAsia"/>
          <w:b/>
          <w:color w:val="000000" w:themeColor="text1"/>
          <w:sz w:val="24"/>
          <w:szCs w:val="24"/>
          <w:lang w:eastAsia="it-IT"/>
        </w:rPr>
        <w:t>cambiamenti</w:t>
      </w:r>
      <w:r w:rsidR="00AC5762">
        <w:rPr>
          <w:rFonts w:eastAsiaTheme="minorEastAsia"/>
          <w:b/>
          <w:color w:val="000000" w:themeColor="text1"/>
          <w:sz w:val="24"/>
          <w:szCs w:val="24"/>
          <w:lang w:eastAsia="it-IT"/>
        </w:rPr>
        <w:t xml:space="preserve"> </w:t>
      </w:r>
      <w:r w:rsidR="3D311A5A" w:rsidRPr="00C9026C">
        <w:rPr>
          <w:rFonts w:eastAsiaTheme="minorEastAsia"/>
          <w:b/>
          <w:color w:val="000000" w:themeColor="text1"/>
          <w:sz w:val="24"/>
          <w:szCs w:val="24"/>
          <w:lang w:eastAsia="it-IT"/>
        </w:rPr>
        <w:t>climatici</w:t>
      </w:r>
      <w:r w:rsidR="3D311A5A" w:rsidRPr="7F9896B4">
        <w:rPr>
          <w:rFonts w:eastAsiaTheme="minorEastAsia"/>
          <w:color w:val="000000" w:themeColor="text1"/>
          <w:sz w:val="24"/>
          <w:szCs w:val="24"/>
          <w:lang w:eastAsia="it-IT"/>
        </w:rPr>
        <w:t xml:space="preserve"> e della transizione verso la </w:t>
      </w:r>
      <w:hyperlink r:id="rId34">
        <w:r w:rsidR="3D311A5A" w:rsidRPr="00C9026C">
          <w:rPr>
            <w:rFonts w:eastAsiaTheme="minorEastAsia"/>
            <w:b/>
            <w:color w:val="000000" w:themeColor="text1"/>
            <w:sz w:val="24"/>
            <w:szCs w:val="24"/>
            <w:lang w:eastAsia="it-IT"/>
          </w:rPr>
          <w:t>neutralità climatica</w:t>
        </w:r>
      </w:hyperlink>
      <w:r w:rsidR="3D311A5A" w:rsidRPr="7F9896B4">
        <w:rPr>
          <w:rFonts w:eastAsiaTheme="minorEastAsia"/>
          <w:color w:val="000000" w:themeColor="text1"/>
          <w:sz w:val="24"/>
          <w:szCs w:val="24"/>
          <w:lang w:eastAsia="it-IT"/>
        </w:rPr>
        <w:t>, cioè verso un'economia a emissioni zero, così come temi relativi alla salvaguardia della biodiversità, alla prevenzione dell'inquinamento e all'economia circolare.</w:t>
      </w:r>
    </w:p>
    <w:p w14:paraId="0BFB10C9" w14:textId="77777777" w:rsidR="00AC5762" w:rsidRDefault="3D311A5A" w:rsidP="0034260A">
      <w:pPr>
        <w:spacing w:after="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 xml:space="preserve">I fattori di tipo sociale si riferiscono a questioni relative alle </w:t>
      </w:r>
      <w:r w:rsidRPr="00F47450">
        <w:rPr>
          <w:rFonts w:eastAsiaTheme="minorEastAsia"/>
          <w:b/>
          <w:bCs/>
          <w:color w:val="000000" w:themeColor="text1"/>
          <w:sz w:val="24"/>
          <w:szCs w:val="24"/>
          <w:lang w:eastAsia="it-IT"/>
        </w:rPr>
        <w:t>disuguaglianze</w:t>
      </w:r>
      <w:r w:rsidRPr="7F9896B4">
        <w:rPr>
          <w:rFonts w:eastAsiaTheme="minorEastAsia"/>
          <w:color w:val="000000" w:themeColor="text1"/>
          <w:sz w:val="24"/>
          <w:szCs w:val="24"/>
          <w:lang w:eastAsia="it-IT"/>
        </w:rPr>
        <w:t xml:space="preserve"> e all'</w:t>
      </w:r>
      <w:r w:rsidRPr="00F47450">
        <w:rPr>
          <w:rFonts w:eastAsiaTheme="minorEastAsia"/>
          <w:b/>
          <w:bCs/>
          <w:color w:val="000000" w:themeColor="text1"/>
          <w:sz w:val="24"/>
          <w:szCs w:val="24"/>
          <w:lang w:eastAsia="it-IT"/>
        </w:rPr>
        <w:t>inclusione</w:t>
      </w:r>
      <w:r w:rsidRPr="7F9896B4">
        <w:rPr>
          <w:rFonts w:eastAsiaTheme="minorEastAsia"/>
          <w:color w:val="000000" w:themeColor="text1"/>
          <w:sz w:val="24"/>
          <w:szCs w:val="24"/>
          <w:lang w:eastAsia="it-IT"/>
        </w:rPr>
        <w:t xml:space="preserve">, alle relazioni di lavoro, agli investimenti in formazione e al benessere della collettività nonché al </w:t>
      </w:r>
      <w:r w:rsidRPr="00F47450">
        <w:rPr>
          <w:rFonts w:eastAsiaTheme="minorEastAsia"/>
          <w:b/>
          <w:bCs/>
          <w:color w:val="000000" w:themeColor="text1"/>
          <w:sz w:val="24"/>
          <w:szCs w:val="24"/>
          <w:lang w:eastAsia="it-IT"/>
        </w:rPr>
        <w:t>rispetto dei diritti umani</w:t>
      </w:r>
      <w:r w:rsidRPr="7F9896B4">
        <w:rPr>
          <w:rFonts w:eastAsiaTheme="minorEastAsia"/>
          <w:color w:val="000000" w:themeColor="text1"/>
          <w:sz w:val="24"/>
          <w:szCs w:val="24"/>
          <w:lang w:eastAsia="it-IT"/>
        </w:rPr>
        <w:t xml:space="preserve">. </w:t>
      </w:r>
    </w:p>
    <w:p w14:paraId="57B6444E" w14:textId="1112740F" w:rsidR="3D311A5A" w:rsidRDefault="3D311A5A" w:rsidP="0034260A">
      <w:pPr>
        <w:spacing w:after="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 xml:space="preserve">Infine, il governo societario delle istituzioni pubbliche e private ha un ruolo fondamentale nell'assicurare che considerazioni di tipo sociale e ambientale entrino nei loro processi decisionali, ad esempio attraverso le </w:t>
      </w:r>
      <w:r w:rsidRPr="00F47450">
        <w:rPr>
          <w:rFonts w:eastAsiaTheme="minorEastAsia"/>
          <w:b/>
          <w:bCs/>
          <w:color w:val="000000" w:themeColor="text1"/>
          <w:sz w:val="24"/>
          <w:szCs w:val="24"/>
          <w:lang w:eastAsia="it-IT"/>
        </w:rPr>
        <w:t>politiche di diversità nella composizione degli organi di amministrazione</w:t>
      </w:r>
      <w:r w:rsidRPr="7F9896B4">
        <w:rPr>
          <w:rFonts w:eastAsiaTheme="minorEastAsia"/>
          <w:color w:val="000000" w:themeColor="text1"/>
          <w:sz w:val="24"/>
          <w:szCs w:val="24"/>
          <w:lang w:eastAsia="it-IT"/>
        </w:rPr>
        <w:t>, la presenza di consiglieri indipendenti o le modalità di remunerazione dei dirigenti.</w:t>
      </w:r>
    </w:p>
    <w:p w14:paraId="75D3D28E" w14:textId="6FEA12CF" w:rsidR="3D311A5A" w:rsidRDefault="3D311A5A" w:rsidP="5B86B77E">
      <w:pPr>
        <w:spacing w:line="257" w:lineRule="auto"/>
      </w:pPr>
    </w:p>
    <w:p w14:paraId="2CC58AC1" w14:textId="011CA895" w:rsidR="005D1DEC" w:rsidRDefault="005D1DEC" w:rsidP="005D1DEC">
      <w:pPr>
        <w:pStyle w:val="Paragrafoelenco"/>
        <w:spacing w:before="240" w:after="240" w:line="276" w:lineRule="auto"/>
        <w:ind w:left="357"/>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1F01FF8D" w14:textId="01E08B82" w:rsidR="005D1DEC" w:rsidRDefault="005D1DEC" w:rsidP="005D1DEC">
      <w:pPr>
        <w:pStyle w:val="Paragrafoelenco"/>
        <w:spacing w:before="240" w:after="240" w:line="276" w:lineRule="auto"/>
        <w:ind w:left="357"/>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r>
        <w:rPr>
          <w:noProof/>
          <w:lang w:eastAsia="it-IT"/>
        </w:rPr>
        <w:drawing>
          <wp:anchor distT="0" distB="0" distL="114300" distR="114300" simplePos="0" relativeHeight="251658250" behindDoc="0" locked="0" layoutInCell="1" allowOverlap="1" wp14:anchorId="18C2585E" wp14:editId="3239FE4D">
            <wp:simplePos x="0" y="0"/>
            <wp:positionH relativeFrom="margin">
              <wp:posOffset>75876</wp:posOffset>
            </wp:positionH>
            <wp:positionV relativeFrom="paragraph">
              <wp:posOffset>355025</wp:posOffset>
            </wp:positionV>
            <wp:extent cx="6075680" cy="2651760"/>
            <wp:effectExtent l="0" t="0" r="1270" b="0"/>
            <wp:wrapThrough wrapText="bothSides">
              <wp:wrapPolygon edited="0">
                <wp:start x="0" y="0"/>
                <wp:lineTo x="0" y="21414"/>
                <wp:lineTo x="21537" y="21414"/>
                <wp:lineTo x="21537" y="0"/>
                <wp:lineTo x="0" y="0"/>
              </wp:wrapPolygon>
            </wp:wrapThrough>
            <wp:docPr id="1620924749" name="Picture 1620924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rcRect l="778"/>
                    <a:stretch>
                      <a:fillRect/>
                    </a:stretch>
                  </pic:blipFill>
                  <pic:spPr>
                    <a:xfrm>
                      <a:off x="0" y="0"/>
                      <a:ext cx="6075680" cy="2651760"/>
                    </a:xfrm>
                    <a:prstGeom prst="rect">
                      <a:avLst/>
                    </a:prstGeom>
                  </pic:spPr>
                </pic:pic>
              </a:graphicData>
            </a:graphic>
          </wp:anchor>
        </w:drawing>
      </w:r>
    </w:p>
    <w:p w14:paraId="0F8436C7" w14:textId="77777777" w:rsidR="005D1DEC" w:rsidRDefault="005D1DEC" w:rsidP="005D1DEC">
      <w:pPr>
        <w:pStyle w:val="Paragrafoelenco"/>
        <w:spacing w:before="240" w:after="240" w:line="276" w:lineRule="auto"/>
        <w:ind w:left="357"/>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61570816" w14:textId="77777777" w:rsidR="005D1DEC" w:rsidRDefault="005D1DEC" w:rsidP="005D1DEC">
      <w:pPr>
        <w:pStyle w:val="Paragrafoelenco"/>
        <w:spacing w:before="240" w:after="240" w:line="276" w:lineRule="auto"/>
        <w:ind w:left="357"/>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7D7D4243" w14:textId="77777777" w:rsidR="005D1DEC" w:rsidRDefault="005D1DEC" w:rsidP="005D1DEC">
      <w:pPr>
        <w:pStyle w:val="Paragrafoelenco"/>
        <w:spacing w:before="240" w:after="240" w:line="276" w:lineRule="auto"/>
        <w:ind w:left="357"/>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1A7CD7F0" w14:textId="77777777" w:rsidR="005D1DEC" w:rsidRDefault="005D1DEC" w:rsidP="005D1DEC">
      <w:pPr>
        <w:pStyle w:val="Paragrafoelenco"/>
        <w:spacing w:before="240" w:after="240" w:line="276" w:lineRule="auto"/>
        <w:ind w:left="357"/>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717A5550" w14:textId="4963F362" w:rsidR="3D311A5A" w:rsidRPr="002F77AD" w:rsidRDefault="3D311A5A" w:rsidP="002F77AD">
      <w:pPr>
        <w:pStyle w:val="Paragrafoelenco"/>
        <w:numPr>
          <w:ilvl w:val="0"/>
          <w:numId w:val="36"/>
        </w:numPr>
        <w:spacing w:before="240" w:after="240" w:line="276" w:lineRule="auto"/>
        <w:ind w:left="357" w:hanging="357"/>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2F77AD">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lastRenderedPageBreak/>
        <w:t>Quando un investimento si può definire so</w:t>
      </w:r>
      <w:r w:rsidRPr="002F77AD">
        <w:rPr>
          <w:rFonts w:cstheme="minorHAnsi"/>
          <w:b/>
          <w:color w:val="FB05FF"/>
          <w:sz w:val="24"/>
          <w:szCs w:val="24"/>
          <w:shd w:val="clear" w:color="auto" w:fill="FFFFFF"/>
          <w14:textOutline w14:w="0" w14:cap="flat" w14:cmpd="sng" w14:algn="ctr">
            <w14:noFill/>
            <w14:prstDash w14:val="solid"/>
            <w14:round/>
          </w14:textOutline>
          <w14:props3d w14:extrusionH="57150" w14:contourW="0" w14:prstMaterial="softEdge">
            <w14:bevelT w14:w="25400" w14:h="38100" w14:prst="circle"/>
          </w14:props3d>
        </w:rPr>
        <w:t>steni</w:t>
      </w:r>
      <w:r w:rsidRPr="002F77AD">
        <w:rPr>
          <w:rFonts w:eastAsia="Times New Roman" w:cstheme="minorHAnsi"/>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t>bile</w:t>
      </w:r>
    </w:p>
    <w:p w14:paraId="74FBDBA7" w14:textId="5674FB7B" w:rsidR="3D311A5A" w:rsidRDefault="3D311A5A" w:rsidP="00E37A8F">
      <w:pPr>
        <w:shd w:val="clear" w:color="auto" w:fill="FFFFFF" w:themeFill="background1"/>
        <w:spacing w:before="240" w:after="0" w:line="276" w:lineRule="auto"/>
        <w:rPr>
          <w:rFonts w:eastAsiaTheme="minorEastAsia"/>
          <w:color w:val="000000" w:themeColor="text1"/>
          <w:sz w:val="24"/>
          <w:szCs w:val="24"/>
          <w:lang w:eastAsia="it-IT"/>
        </w:rPr>
      </w:pPr>
      <w:r w:rsidRPr="00C9026C">
        <w:rPr>
          <w:rFonts w:eastAsiaTheme="minorEastAsia"/>
          <w:b/>
          <w:color w:val="000000" w:themeColor="text1"/>
          <w:sz w:val="24"/>
          <w:szCs w:val="24"/>
          <w:lang w:eastAsia="it-IT"/>
        </w:rPr>
        <w:t>Un investimento viene definito "sostenibile</w:t>
      </w:r>
      <w:r w:rsidRPr="7F9896B4">
        <w:rPr>
          <w:rFonts w:eastAsiaTheme="minorEastAsia"/>
          <w:color w:val="000000" w:themeColor="text1"/>
          <w:sz w:val="24"/>
          <w:szCs w:val="24"/>
          <w:lang w:eastAsia="it-IT"/>
        </w:rPr>
        <w:t xml:space="preserve">" sulla base di indicatori, i rating </w:t>
      </w:r>
      <w:r w:rsidRPr="00C9026C">
        <w:rPr>
          <w:rFonts w:eastAsiaTheme="minorEastAsia"/>
          <w:b/>
          <w:color w:val="000000" w:themeColor="text1"/>
          <w:sz w:val="24"/>
          <w:szCs w:val="24"/>
          <w:lang w:eastAsia="it-IT"/>
        </w:rPr>
        <w:t>ESG</w:t>
      </w:r>
      <w:r w:rsidRPr="7F9896B4">
        <w:rPr>
          <w:rFonts w:eastAsiaTheme="minorEastAsia"/>
          <w:color w:val="000000" w:themeColor="text1"/>
          <w:sz w:val="24"/>
          <w:szCs w:val="24"/>
          <w:lang w:eastAsia="it-IT"/>
        </w:rPr>
        <w:t>, che esprimono un giudizio sintetico sul livello di sostenibilità ambientale (</w:t>
      </w:r>
      <w:proofErr w:type="spellStart"/>
      <w:r w:rsidRPr="7F9896B4">
        <w:rPr>
          <w:rFonts w:eastAsiaTheme="minorEastAsia"/>
          <w:color w:val="000000" w:themeColor="text1"/>
          <w:sz w:val="24"/>
          <w:szCs w:val="24"/>
          <w:lang w:eastAsia="it-IT"/>
        </w:rPr>
        <w:t>Environmental</w:t>
      </w:r>
      <w:proofErr w:type="spellEnd"/>
      <w:r w:rsidRPr="7F9896B4">
        <w:rPr>
          <w:rFonts w:eastAsiaTheme="minorEastAsia"/>
          <w:color w:val="000000" w:themeColor="text1"/>
          <w:sz w:val="24"/>
          <w:szCs w:val="24"/>
          <w:lang w:eastAsia="it-IT"/>
        </w:rPr>
        <w:t>), sociale (Social) e di governo societario (Governance) di emittenti (imprese, Stati, organizzazioni sovranazionali), di titoli e/o di strumenti di investimento collettivo (ETF).</w:t>
      </w:r>
    </w:p>
    <w:p w14:paraId="64023909" w14:textId="77777777" w:rsidR="00455B8D" w:rsidRDefault="3D311A5A" w:rsidP="00E37A8F">
      <w:pPr>
        <w:shd w:val="clear" w:color="auto" w:fill="FFFFFF" w:themeFill="background1"/>
        <w:spacing w:after="0" w:line="276" w:lineRule="auto"/>
        <w:rPr>
          <w:rFonts w:eastAsiaTheme="minorEastAsia"/>
          <w:color w:val="000000" w:themeColor="text1"/>
          <w:sz w:val="24"/>
          <w:szCs w:val="24"/>
          <w:lang w:eastAsia="it-IT"/>
        </w:rPr>
      </w:pPr>
      <w:r w:rsidRPr="00625BC1">
        <w:rPr>
          <w:rFonts w:eastAsiaTheme="minorEastAsia"/>
          <w:b/>
          <w:color w:val="000000" w:themeColor="text1"/>
          <w:sz w:val="24"/>
          <w:szCs w:val="24"/>
          <w:lang w:eastAsia="it-IT"/>
        </w:rPr>
        <w:t xml:space="preserve">I rating ESG </w:t>
      </w:r>
      <w:r w:rsidRPr="7F9896B4">
        <w:rPr>
          <w:rFonts w:eastAsiaTheme="minorEastAsia"/>
          <w:color w:val="000000" w:themeColor="text1"/>
          <w:sz w:val="24"/>
          <w:szCs w:val="24"/>
          <w:lang w:eastAsia="it-IT"/>
        </w:rPr>
        <w:t>sono assegna</w:t>
      </w:r>
      <w:r w:rsidR="001173CC">
        <w:rPr>
          <w:rFonts w:eastAsiaTheme="minorEastAsia"/>
          <w:color w:val="000000" w:themeColor="text1"/>
          <w:sz w:val="24"/>
          <w:szCs w:val="24"/>
          <w:lang w:eastAsia="it-IT"/>
        </w:rPr>
        <w:t>ti</w:t>
      </w:r>
      <w:r w:rsidRPr="7F9896B4">
        <w:rPr>
          <w:rFonts w:eastAsiaTheme="minorEastAsia"/>
          <w:color w:val="000000" w:themeColor="text1"/>
          <w:sz w:val="24"/>
          <w:szCs w:val="24"/>
          <w:lang w:eastAsia="it-IT"/>
        </w:rPr>
        <w:t xml:space="preserve"> da agenzie specializzate che li elaborano sulla base di analisi condotte a partire dalle informazioni di carattere non finanziario pubblicate dalle imprese e ottenute da altre fonti (questionari, banche dati, notizie).</w:t>
      </w:r>
    </w:p>
    <w:p w14:paraId="09808BD1" w14:textId="445301CF" w:rsidR="3D311A5A" w:rsidRDefault="3D311A5A" w:rsidP="00E37A8F">
      <w:pPr>
        <w:shd w:val="clear" w:color="auto" w:fill="FFFFFF" w:themeFill="background1"/>
        <w:spacing w:after="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 xml:space="preserve">Oltre ai rating ESG, che sono punteggi di sintesi del grado di sostenibilità, le agenzie possono offrire anche </w:t>
      </w:r>
      <w:r w:rsidRPr="00625068">
        <w:rPr>
          <w:rFonts w:eastAsiaTheme="minorEastAsia"/>
          <w:b/>
          <w:bCs/>
          <w:color w:val="000000" w:themeColor="text1"/>
          <w:sz w:val="24"/>
          <w:szCs w:val="24"/>
          <w:lang w:eastAsia="it-IT"/>
        </w:rPr>
        <w:t>dati su singoli aspetti della sostenibilità delle imprese</w:t>
      </w:r>
      <w:r w:rsidRPr="7F9896B4">
        <w:rPr>
          <w:rFonts w:eastAsiaTheme="minorEastAsia"/>
          <w:color w:val="000000" w:themeColor="text1"/>
          <w:sz w:val="24"/>
          <w:szCs w:val="24"/>
          <w:lang w:eastAsia="it-IT"/>
        </w:rPr>
        <w:t xml:space="preserve"> (ad esempio i dati sulle emissioni carboniche, i consumi di acqua, ecc.).</w:t>
      </w:r>
    </w:p>
    <w:p w14:paraId="639684BD" w14:textId="406B5F43" w:rsidR="3D311A5A" w:rsidRDefault="3D311A5A" w:rsidP="00E37A8F">
      <w:pPr>
        <w:shd w:val="clear" w:color="auto" w:fill="FFFFFF" w:themeFill="background1"/>
        <w:spacing w:after="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Mancano tuttavia standard condivisi a livello internazionale per la valutazione della sostenibilità</w:t>
      </w:r>
      <w:r w:rsidR="00152232">
        <w:rPr>
          <w:rFonts w:eastAsiaTheme="minorEastAsia"/>
          <w:color w:val="000000" w:themeColor="text1"/>
          <w:sz w:val="24"/>
          <w:szCs w:val="24"/>
          <w:lang w:eastAsia="it-IT"/>
        </w:rPr>
        <w:t>, d</w:t>
      </w:r>
      <w:r w:rsidRPr="7F9896B4">
        <w:rPr>
          <w:rFonts w:eastAsiaTheme="minorEastAsia"/>
          <w:color w:val="000000" w:themeColor="text1"/>
          <w:sz w:val="24"/>
          <w:szCs w:val="24"/>
          <w:lang w:eastAsia="it-IT"/>
        </w:rPr>
        <w:t>i conseguenza, in attesa di una regolamentazione che stabilisca criteri uniformi sulle metodologie utilizzat</w:t>
      </w:r>
      <w:r w:rsidR="003C4ABA">
        <w:rPr>
          <w:rFonts w:eastAsiaTheme="minorEastAsia"/>
          <w:color w:val="000000" w:themeColor="text1"/>
          <w:sz w:val="24"/>
          <w:szCs w:val="24"/>
          <w:lang w:eastAsia="it-IT"/>
        </w:rPr>
        <w:t>e</w:t>
      </w:r>
      <w:r w:rsidRPr="7F9896B4">
        <w:rPr>
          <w:rFonts w:eastAsiaTheme="minorEastAsia"/>
          <w:color w:val="000000" w:themeColor="text1"/>
          <w:sz w:val="24"/>
          <w:szCs w:val="24"/>
          <w:lang w:eastAsia="it-IT"/>
        </w:rPr>
        <w:t xml:space="preserve"> per la costruzione dei rating ESG, per definire «</w:t>
      </w:r>
      <w:r w:rsidRPr="00625BC1">
        <w:rPr>
          <w:rFonts w:eastAsiaTheme="minorEastAsia"/>
          <w:b/>
          <w:color w:val="000000" w:themeColor="text1"/>
          <w:sz w:val="24"/>
          <w:szCs w:val="24"/>
          <w:lang w:eastAsia="it-IT"/>
        </w:rPr>
        <w:t>sostenibile</w:t>
      </w:r>
      <w:r w:rsidRPr="7F9896B4">
        <w:rPr>
          <w:rFonts w:eastAsiaTheme="minorEastAsia"/>
          <w:color w:val="000000" w:themeColor="text1"/>
          <w:sz w:val="24"/>
          <w:szCs w:val="24"/>
          <w:lang w:eastAsia="it-IT"/>
        </w:rPr>
        <w:t>» un'attività economica si usano oggi concetti e misure differenti.</w:t>
      </w:r>
    </w:p>
    <w:p w14:paraId="30651A7A" w14:textId="4F1ADDC9" w:rsidR="3D311A5A" w:rsidRDefault="00B431A5" w:rsidP="00E37A8F">
      <w:pPr>
        <w:shd w:val="clear" w:color="auto" w:fill="FFFFFF" w:themeFill="background1"/>
        <w:spacing w:after="24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Ciononostante,</w:t>
      </w:r>
      <w:r w:rsidR="3D311A5A" w:rsidRPr="7F9896B4">
        <w:rPr>
          <w:rFonts w:eastAsiaTheme="minorEastAsia"/>
          <w:color w:val="000000" w:themeColor="text1"/>
          <w:sz w:val="24"/>
          <w:szCs w:val="24"/>
          <w:lang w:eastAsia="it-IT"/>
        </w:rPr>
        <w:t xml:space="preserve"> i punteggi ESG sono utilizzati ampiamente in finanza per la selezione di strumenti finanziari, la costruzione di portafogli d'investimento e la creazione di indici di mercato che vengono definiti "sostenibili" o denominati con la sigla "ESG".</w:t>
      </w:r>
    </w:p>
    <w:p w14:paraId="66E55B29" w14:textId="7EBB6661" w:rsidR="3E0C824F" w:rsidRDefault="0095234D" w:rsidP="5B86B77E">
      <w:pPr>
        <w:shd w:val="clear" w:color="auto" w:fill="FFFFFF" w:themeFill="background1"/>
        <w:spacing w:after="240"/>
      </w:pPr>
      <w:r>
        <w:rPr>
          <w:noProof/>
          <w:lang w:eastAsia="it-IT"/>
        </w:rPr>
        <w:drawing>
          <wp:anchor distT="0" distB="0" distL="114300" distR="114300" simplePos="0" relativeHeight="251658244" behindDoc="0" locked="0" layoutInCell="1" allowOverlap="1" wp14:anchorId="3D8CA1FE" wp14:editId="24E06E3A">
            <wp:simplePos x="0" y="0"/>
            <wp:positionH relativeFrom="margin">
              <wp:align>center</wp:align>
            </wp:positionH>
            <wp:positionV relativeFrom="paragraph">
              <wp:posOffset>484505</wp:posOffset>
            </wp:positionV>
            <wp:extent cx="6123940" cy="2933700"/>
            <wp:effectExtent l="0" t="0" r="0" b="0"/>
            <wp:wrapTopAndBottom/>
            <wp:docPr id="890837177" name="Picture 890837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6123940" cy="2933700"/>
                    </a:xfrm>
                    <a:prstGeom prst="rect">
                      <a:avLst/>
                    </a:prstGeom>
                  </pic:spPr>
                </pic:pic>
              </a:graphicData>
            </a:graphic>
          </wp:anchor>
        </w:drawing>
      </w:r>
    </w:p>
    <w:p w14:paraId="6D572C06" w14:textId="56D9DB35" w:rsidR="3D311A5A" w:rsidRPr="002F77AD" w:rsidRDefault="3D311A5A" w:rsidP="5B86B77E">
      <w:pPr>
        <w:spacing w:line="257" w:lineRule="auto"/>
        <w:rPr>
          <w:b/>
          <w:color w:val="FFC000" w:themeColor="accent4"/>
          <w:sz w:val="20"/>
          <w:szCs w:val="20"/>
          <w14:textOutline w14:w="0" w14:cap="flat" w14:cmpd="sng" w14:algn="ctr">
            <w14:noFill/>
            <w14:prstDash w14:val="solid"/>
            <w14:round/>
          </w14:textOutline>
          <w14:props3d w14:extrusionH="57150" w14:contourW="0" w14:prstMaterial="softEdge">
            <w14:bevelT w14:w="25400" w14:h="38100" w14:prst="circle"/>
          </w14:props3d>
        </w:rPr>
      </w:pPr>
      <w:r w:rsidRPr="5B86B77E">
        <w:rPr>
          <w:rFonts w:ascii="Calibri Light" w:eastAsia="Calibri Light" w:hAnsi="Calibri Light" w:cs="Calibri Light"/>
          <w:b/>
          <w:bCs/>
          <w:sz w:val="24"/>
          <w:szCs w:val="24"/>
        </w:rPr>
        <w:t xml:space="preserve"> </w:t>
      </w:r>
    </w:p>
    <w:p w14:paraId="125E9E7D" w14:textId="77777777" w:rsidR="00880B8F" w:rsidRPr="00880B8F" w:rsidRDefault="00880B8F" w:rsidP="00880B8F">
      <w:pPr>
        <w:pStyle w:val="Paragrafoelenco"/>
        <w:spacing w:before="240" w:after="240" w:line="276" w:lineRule="auto"/>
        <w:ind w:left="357"/>
        <w:rPr>
          <w:rFonts w:ascii="Times New Roman" w:eastAsia="Times New Roman" w:hAnsi="Times New Roman" w:cs="Times New Roman"/>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p>
    <w:p w14:paraId="166B318A" w14:textId="2CD8C086" w:rsidR="3D311A5A" w:rsidRPr="003A435B" w:rsidRDefault="3D311A5A" w:rsidP="003A435B">
      <w:pPr>
        <w:pStyle w:val="Paragrafoelenco"/>
        <w:numPr>
          <w:ilvl w:val="0"/>
          <w:numId w:val="36"/>
        </w:numPr>
        <w:spacing w:before="240" w:after="240" w:line="276" w:lineRule="auto"/>
        <w:ind w:left="357" w:hanging="357"/>
        <w:rPr>
          <w:rFonts w:ascii="Times New Roman" w:eastAsia="Times New Roman" w:hAnsi="Times New Roman" w:cs="Times New Roman"/>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pPr>
      <w:r w:rsidRPr="003A435B">
        <w:rPr>
          <w:rFonts w:eastAsiaTheme="minorEastAsia"/>
          <w:b/>
          <w:color w:val="FB05FF"/>
          <w:sz w:val="24"/>
          <w:szCs w:val="24"/>
          <w14:textOutline w14:w="0" w14:cap="flat" w14:cmpd="sng" w14:algn="ctr">
            <w14:noFill/>
            <w14:prstDash w14:val="solid"/>
            <w14:round/>
          </w14:textOutline>
          <w14:props3d w14:extrusionH="57150" w14:contourW="0" w14:prstMaterial="softEdge">
            <w14:bevelT w14:w="25400" w14:h="38100" w14:prst="circle"/>
          </w14:props3d>
        </w:rPr>
        <w:lastRenderedPageBreak/>
        <w:t>Il cambiamento climatico e i rischi per il sistema finanziario</w:t>
      </w:r>
    </w:p>
    <w:p w14:paraId="12DB1F51" w14:textId="77777777" w:rsidR="003C4ABA" w:rsidRDefault="3D311A5A" w:rsidP="003C4ABA">
      <w:pPr>
        <w:shd w:val="clear" w:color="auto" w:fill="FFFFFF" w:themeFill="background1"/>
        <w:spacing w:after="0" w:line="276" w:lineRule="auto"/>
        <w:rPr>
          <w:rFonts w:eastAsiaTheme="minorEastAsia"/>
          <w:color w:val="000000" w:themeColor="text1"/>
          <w:sz w:val="24"/>
          <w:szCs w:val="24"/>
          <w:lang w:eastAsia="it-IT"/>
        </w:rPr>
      </w:pPr>
      <w:r w:rsidRPr="7F9896B4">
        <w:rPr>
          <w:rFonts w:eastAsiaTheme="minorEastAsia"/>
          <w:color w:val="000000" w:themeColor="text1"/>
          <w:sz w:val="24"/>
          <w:szCs w:val="24"/>
          <w:lang w:eastAsia="it-IT"/>
        </w:rPr>
        <w:t>I</w:t>
      </w:r>
      <w:r w:rsidR="00101327">
        <w:rPr>
          <w:rFonts w:eastAsiaTheme="minorEastAsia"/>
          <w:color w:val="000000" w:themeColor="text1"/>
          <w:sz w:val="24"/>
          <w:szCs w:val="24"/>
          <w:lang w:eastAsia="it-IT"/>
        </w:rPr>
        <w:t xml:space="preserve">l </w:t>
      </w:r>
      <w:r w:rsidRPr="7F9896B4">
        <w:rPr>
          <w:rFonts w:eastAsiaTheme="minorEastAsia"/>
          <w:color w:val="000000" w:themeColor="text1"/>
          <w:sz w:val="24"/>
          <w:szCs w:val="24"/>
          <w:lang w:eastAsia="it-IT"/>
        </w:rPr>
        <w:t xml:space="preserve">cambiamento climatico e le relative politiche di mitigazione espongono le imprese, e quindi i loro titoli finanziari, a una serie </w:t>
      </w:r>
      <w:r w:rsidRPr="00625BC1">
        <w:rPr>
          <w:rFonts w:eastAsiaTheme="minorEastAsia"/>
          <w:b/>
          <w:color w:val="000000" w:themeColor="text1"/>
          <w:sz w:val="24"/>
          <w:szCs w:val="24"/>
          <w:lang w:eastAsia="it-IT"/>
        </w:rPr>
        <w:t>di rischi</w:t>
      </w:r>
      <w:r w:rsidRPr="7F9896B4">
        <w:rPr>
          <w:rFonts w:eastAsiaTheme="minorEastAsia"/>
          <w:color w:val="000000" w:themeColor="text1"/>
          <w:sz w:val="24"/>
          <w:szCs w:val="24"/>
          <w:lang w:eastAsia="it-IT"/>
        </w:rPr>
        <w:t xml:space="preserve">. </w:t>
      </w:r>
    </w:p>
    <w:p w14:paraId="0F529C0E" w14:textId="77777777" w:rsidR="00FF4CB1" w:rsidRDefault="00901E0F" w:rsidP="003C4ABA">
      <w:pPr>
        <w:shd w:val="clear" w:color="auto" w:fill="FFFFFF" w:themeFill="background1"/>
        <w:spacing w:after="0" w:line="276" w:lineRule="auto"/>
        <w:rPr>
          <w:rFonts w:eastAsiaTheme="minorEastAsia"/>
          <w:color w:val="000000" w:themeColor="text1"/>
          <w:sz w:val="24"/>
          <w:szCs w:val="24"/>
          <w:lang w:eastAsia="it-IT"/>
        </w:rPr>
      </w:pPr>
      <w:r>
        <w:rPr>
          <w:rFonts w:eastAsiaTheme="minorEastAsia"/>
          <w:color w:val="000000" w:themeColor="text1"/>
          <w:sz w:val="24"/>
          <w:szCs w:val="24"/>
          <w:lang w:eastAsia="it-IT"/>
        </w:rPr>
        <w:t>Ad esempio</w:t>
      </w:r>
      <w:r w:rsidR="000A4A57" w:rsidRPr="21139FB6">
        <w:rPr>
          <w:rFonts w:eastAsiaTheme="minorEastAsia"/>
          <w:color w:val="000000" w:themeColor="text1"/>
          <w:sz w:val="24"/>
          <w:szCs w:val="24"/>
          <w:lang w:eastAsia="it-IT"/>
        </w:rPr>
        <w:t>,</w:t>
      </w:r>
      <w:r w:rsidR="3D311A5A" w:rsidRPr="7F9896B4">
        <w:rPr>
          <w:rFonts w:eastAsiaTheme="minorEastAsia"/>
          <w:color w:val="000000" w:themeColor="text1"/>
          <w:sz w:val="24"/>
          <w:szCs w:val="24"/>
          <w:lang w:eastAsia="it-IT"/>
        </w:rPr>
        <w:t xml:space="preserve"> ci sono i </w:t>
      </w:r>
      <w:r w:rsidR="3D311A5A" w:rsidRPr="00625BC1">
        <w:rPr>
          <w:rFonts w:eastAsiaTheme="minorEastAsia"/>
          <w:b/>
          <w:color w:val="000000" w:themeColor="text1"/>
          <w:sz w:val="24"/>
          <w:szCs w:val="24"/>
          <w:lang w:eastAsia="it-IT"/>
        </w:rPr>
        <w:t>rischi fisici</w:t>
      </w:r>
      <w:r w:rsidR="3D311A5A" w:rsidRPr="7F9896B4">
        <w:rPr>
          <w:rFonts w:eastAsiaTheme="minorEastAsia"/>
          <w:color w:val="000000" w:themeColor="text1"/>
          <w:sz w:val="24"/>
          <w:szCs w:val="24"/>
          <w:lang w:eastAsia="it-IT"/>
        </w:rPr>
        <w:t>, ovvero quelli derivanti dall'intensificarsi di fenomeni naturali estremi attribuibili ai cambiamenti climatici. Questi fenomeni possono essere cronici, come il progressivo aumento delle temperature o delle precipitazioni, oppure acuti, come quando si verificano eventi che hanno bassa probabilità di manifestarsi ma che hanno un impatto significativo sui territori colpiti (alluvioni, uragani, ondate di calore, ecc.).</w:t>
      </w:r>
    </w:p>
    <w:p w14:paraId="0B2AC8C2" w14:textId="6F398991" w:rsidR="3D311A5A" w:rsidRDefault="3D311A5A" w:rsidP="003C4ABA">
      <w:pPr>
        <w:shd w:val="clear" w:color="auto" w:fill="FFFFFF" w:themeFill="background1"/>
        <w:spacing w:after="0" w:line="276" w:lineRule="auto"/>
        <w:rPr>
          <w:rFonts w:eastAsiaTheme="minorEastAsia"/>
          <w:color w:val="000000" w:themeColor="text1"/>
          <w:sz w:val="24"/>
          <w:szCs w:val="24"/>
          <w:lang w:eastAsia="it-IT"/>
        </w:rPr>
      </w:pPr>
      <w:r w:rsidRPr="00625BC1">
        <w:rPr>
          <w:rFonts w:eastAsiaTheme="minorEastAsia"/>
          <w:color w:val="000000" w:themeColor="text1"/>
          <w:sz w:val="24"/>
          <w:szCs w:val="24"/>
          <w:u w:val="single"/>
          <w:lang w:eastAsia="it-IT"/>
        </w:rPr>
        <w:t>Le imprese danneggiate da eventi climatici avversi</w:t>
      </w:r>
      <w:r w:rsidRPr="00D16BFA">
        <w:rPr>
          <w:rFonts w:eastAsiaTheme="minorEastAsia"/>
          <w:color w:val="000000" w:themeColor="text1"/>
          <w:sz w:val="24"/>
          <w:szCs w:val="24"/>
          <w:lang w:eastAsia="it-IT"/>
        </w:rPr>
        <w:t xml:space="preserve"> possono subire un potenziale</w:t>
      </w:r>
      <w:r w:rsidRPr="7F9896B4">
        <w:rPr>
          <w:rFonts w:eastAsiaTheme="minorEastAsia"/>
          <w:color w:val="000000" w:themeColor="text1"/>
          <w:sz w:val="24"/>
          <w:szCs w:val="24"/>
          <w:lang w:eastAsia="it-IT"/>
        </w:rPr>
        <w:t xml:space="preserve"> </w:t>
      </w:r>
      <w:r w:rsidRPr="00625BC1">
        <w:rPr>
          <w:rFonts w:eastAsiaTheme="minorEastAsia"/>
          <w:b/>
          <w:color w:val="000000" w:themeColor="text1"/>
          <w:sz w:val="24"/>
          <w:szCs w:val="24"/>
          <w:lang w:eastAsia="it-IT"/>
        </w:rPr>
        <w:t>deprezzamento delle azioni</w:t>
      </w:r>
      <w:r w:rsidRPr="7F9896B4">
        <w:rPr>
          <w:rFonts w:eastAsiaTheme="minorEastAsia"/>
          <w:color w:val="000000" w:themeColor="text1"/>
          <w:sz w:val="24"/>
          <w:szCs w:val="24"/>
          <w:lang w:eastAsia="it-IT"/>
        </w:rPr>
        <w:t xml:space="preserve"> </w:t>
      </w:r>
      <w:r w:rsidRPr="00625BC1">
        <w:rPr>
          <w:rFonts w:eastAsiaTheme="minorEastAsia"/>
          <w:b/>
          <w:color w:val="000000" w:themeColor="text1"/>
          <w:sz w:val="24"/>
          <w:szCs w:val="24"/>
          <w:lang w:eastAsia="it-IT"/>
        </w:rPr>
        <w:t>e delle obbligazioni</w:t>
      </w:r>
      <w:r w:rsidRPr="7F9896B4">
        <w:rPr>
          <w:rFonts w:eastAsiaTheme="minorEastAsia"/>
          <w:color w:val="000000" w:themeColor="text1"/>
          <w:sz w:val="24"/>
          <w:szCs w:val="24"/>
          <w:lang w:eastAsia="it-IT"/>
        </w:rPr>
        <w:t xml:space="preserve"> da loro emesse con conseguenti </w:t>
      </w:r>
      <w:r w:rsidRPr="00625BC1">
        <w:rPr>
          <w:rFonts w:eastAsiaTheme="minorEastAsia"/>
          <w:b/>
          <w:color w:val="000000" w:themeColor="text1"/>
          <w:sz w:val="24"/>
          <w:szCs w:val="24"/>
          <w:lang w:eastAsia="it-IT"/>
        </w:rPr>
        <w:t>perdite per gli intermediari e i risparmiatori</w:t>
      </w:r>
      <w:r w:rsidRPr="7F9896B4">
        <w:rPr>
          <w:rFonts w:eastAsiaTheme="minorEastAsia"/>
          <w:color w:val="000000" w:themeColor="text1"/>
          <w:sz w:val="24"/>
          <w:szCs w:val="24"/>
          <w:lang w:eastAsia="it-IT"/>
        </w:rPr>
        <w:t xml:space="preserve"> che li detengono.</w:t>
      </w:r>
    </w:p>
    <w:p w14:paraId="4E960186" w14:textId="77777777" w:rsidR="00FA17AA" w:rsidRPr="00327168" w:rsidRDefault="00FA17AA" w:rsidP="00B77B47">
      <w:pPr>
        <w:spacing w:line="240" w:lineRule="auto"/>
        <w:rPr>
          <w:rFonts w:eastAsia="Calibri Light" w:cstheme="minorHAnsi"/>
          <w:b/>
          <w:bCs/>
          <w:sz w:val="20"/>
          <w:szCs w:val="20"/>
        </w:rPr>
      </w:pPr>
    </w:p>
    <w:p w14:paraId="4B358011" w14:textId="790BA3C0" w:rsidR="007C2B30" w:rsidRPr="00327168" w:rsidRDefault="00C958D3" w:rsidP="00B77B47">
      <w:pPr>
        <w:spacing w:line="240" w:lineRule="auto"/>
        <w:rPr>
          <w:rFonts w:eastAsia="Calibri Light" w:cstheme="minorHAnsi"/>
          <w:sz w:val="20"/>
          <w:szCs w:val="20"/>
        </w:rPr>
      </w:pPr>
      <w:r w:rsidRPr="00327168">
        <w:rPr>
          <w:rFonts w:eastAsia="Calibri Light" w:cstheme="minorHAnsi"/>
          <w:sz w:val="20"/>
          <w:szCs w:val="20"/>
        </w:rPr>
        <w:t>Fonte:</w:t>
      </w:r>
      <w:r w:rsidR="001E3EDC" w:rsidRPr="00327168">
        <w:rPr>
          <w:rFonts w:eastAsia="Calibri Light" w:cstheme="minorHAnsi"/>
          <w:sz w:val="20"/>
          <w:szCs w:val="20"/>
        </w:rPr>
        <w:t xml:space="preserve"> </w:t>
      </w:r>
      <w:hyperlink r:id="rId37" w:history="1">
        <w:r w:rsidR="00B3551C" w:rsidRPr="00327168">
          <w:rPr>
            <w:rStyle w:val="Collegamentoipertestuale"/>
            <w:rFonts w:eastAsia="Calibri Light" w:cstheme="minorHAnsi"/>
            <w:sz w:val="20"/>
            <w:szCs w:val="20"/>
          </w:rPr>
          <w:t>https://www.bancaditalia.it/</w:t>
        </w:r>
      </w:hyperlink>
    </w:p>
    <w:p w14:paraId="445822D6" w14:textId="28DF2EB0" w:rsidR="00292C88" w:rsidRDefault="006B1F33" w:rsidP="7F9896B4">
      <w:pPr>
        <w:rPr>
          <w:sz w:val="24"/>
          <w:szCs w:val="24"/>
        </w:rPr>
      </w:pPr>
      <w:r>
        <w:rPr>
          <w:sz w:val="24"/>
          <w:szCs w:val="24"/>
        </w:rPr>
        <w:t xml:space="preserve">                                        </w:t>
      </w:r>
    </w:p>
    <w:p w14:paraId="79BBFB2E" w14:textId="402EA852" w:rsidR="00346A0A" w:rsidRPr="001E76AF" w:rsidRDefault="00292C88" w:rsidP="00B77B47">
      <w:pPr>
        <w:pStyle w:val="Paragrafoelenco"/>
        <w:numPr>
          <w:ilvl w:val="0"/>
          <w:numId w:val="2"/>
        </w:numPr>
        <w:spacing w:line="336" w:lineRule="auto"/>
        <w:ind w:left="357" w:hanging="357"/>
        <w:rPr>
          <w:rFonts w:cstheme="minorHAnsi"/>
          <w:b/>
          <w:bCs/>
          <w:outline/>
          <w:color w:val="804E38"/>
          <w:sz w:val="32"/>
          <w:szCs w:val="32"/>
          <w14:shadow w14:blurRad="0" w14:dist="38100" w14:dir="2700000" w14:sx="100000" w14:sy="100000" w14:kx="0" w14:ky="0" w14:algn="tl">
            <w14:srgbClr w14:val="804E38"/>
          </w14:shadow>
          <w14:reflection w14:blurRad="6350" w14:stA="55000" w14:stPos="0" w14:endA="50" w14:endPos="85000" w14:dist="60007" w14:dir="5400000" w14:fadeDir="5400000" w14:sx="100000" w14:sy="-100000" w14:kx="0" w14:ky="0" w14:algn="bl"/>
          <w14:textOutline w14:w="6604" w14:cap="flat" w14:cmpd="sng" w14:algn="ctr">
            <w14:solidFill>
              <w14:srgbClr w14:val="804E38"/>
            </w14:solidFill>
            <w14:prstDash w14:val="solid"/>
            <w14:round/>
          </w14:textOutline>
          <w14:textFill>
            <w14:solidFill>
              <w14:srgbClr w14:val="FFFFFF"/>
            </w14:solidFill>
          </w14:textFill>
        </w:rPr>
      </w:pPr>
      <w:r w:rsidRPr="001E76AF">
        <w:rPr>
          <w:rFonts w:cstheme="minorHAnsi"/>
          <w:b/>
          <w:bCs/>
          <w:outline/>
          <w:color w:val="804E38"/>
          <w:sz w:val="32"/>
          <w:szCs w:val="32"/>
          <w14:shadow w14:blurRad="0" w14:dist="38100" w14:dir="2700000" w14:sx="100000" w14:sy="100000" w14:kx="0" w14:ky="0" w14:algn="tl">
            <w14:srgbClr w14:val="804E38"/>
          </w14:shadow>
          <w14:reflection w14:blurRad="6350" w14:stA="55000" w14:stPos="0" w14:endA="50" w14:endPos="85000" w14:dist="60007" w14:dir="5400000" w14:fadeDir="5400000" w14:sx="100000" w14:sy="-100000" w14:kx="0" w14:ky="0" w14:algn="bl"/>
          <w14:textOutline w14:w="6604" w14:cap="flat" w14:cmpd="sng" w14:algn="ctr">
            <w14:solidFill>
              <w14:srgbClr w14:val="804E38"/>
            </w14:solidFill>
            <w14:prstDash w14:val="solid"/>
            <w14:round/>
          </w14:textOutline>
          <w14:textFill>
            <w14:solidFill>
              <w14:srgbClr w14:val="FFFFFF"/>
            </w14:solidFill>
          </w14:textFill>
        </w:rPr>
        <w:t xml:space="preserve">Rapporto </w:t>
      </w:r>
      <w:r w:rsidR="0064668E" w:rsidRPr="001E76AF">
        <w:rPr>
          <w:rFonts w:cstheme="minorHAnsi"/>
          <w:b/>
          <w:bCs/>
          <w:outline/>
          <w:color w:val="804E38"/>
          <w:sz w:val="32"/>
          <w:szCs w:val="32"/>
          <w14:shadow w14:blurRad="0" w14:dist="38100" w14:dir="2700000" w14:sx="100000" w14:sy="100000" w14:kx="0" w14:ky="0" w14:algn="tl">
            <w14:srgbClr w14:val="804E38"/>
          </w14:shadow>
          <w14:reflection w14:blurRad="6350" w14:stA="55000" w14:stPos="0" w14:endA="50" w14:endPos="85000" w14:dist="60007" w14:dir="5400000" w14:fadeDir="5400000" w14:sx="100000" w14:sy="-100000" w14:kx="0" w14:ky="0" w14:algn="bl"/>
          <w14:textOutline w14:w="6604" w14:cap="flat" w14:cmpd="sng" w14:algn="ctr">
            <w14:solidFill>
              <w14:srgbClr w14:val="804E38"/>
            </w14:solidFill>
            <w14:prstDash w14:val="solid"/>
            <w14:round/>
          </w14:textOutline>
          <w14:textFill>
            <w14:solidFill>
              <w14:srgbClr w14:val="FFFFFF"/>
            </w14:solidFill>
          </w14:textFill>
        </w:rPr>
        <w:t>tra Iren S.p.A.</w:t>
      </w:r>
      <w:r w:rsidR="001463E2" w:rsidRPr="001E76AF">
        <w:rPr>
          <w:rFonts w:cstheme="minorHAnsi"/>
          <w:b/>
          <w:bCs/>
          <w:outline/>
          <w:color w:val="804E38"/>
          <w:sz w:val="32"/>
          <w:szCs w:val="32"/>
          <w14:shadow w14:blurRad="0" w14:dist="38100" w14:dir="2700000" w14:sx="100000" w14:sy="100000" w14:kx="0" w14:ky="0" w14:algn="tl">
            <w14:srgbClr w14:val="804E38"/>
          </w14:shadow>
          <w14:reflection w14:blurRad="6350" w14:stA="55000" w14:stPos="0" w14:endA="50" w14:endPos="85000" w14:dist="60007" w14:dir="5400000" w14:fadeDir="5400000" w14:sx="100000" w14:sy="-100000" w14:kx="0" w14:ky="0" w14:algn="bl"/>
          <w14:textOutline w14:w="6604" w14:cap="flat" w14:cmpd="sng" w14:algn="ctr">
            <w14:solidFill>
              <w14:srgbClr w14:val="804E38"/>
            </w14:solidFill>
            <w14:prstDash w14:val="solid"/>
            <w14:round/>
          </w14:textOutline>
          <w14:textFill>
            <w14:solidFill>
              <w14:srgbClr w14:val="FFFFFF"/>
            </w14:solidFill>
          </w14:textFill>
        </w:rPr>
        <w:t xml:space="preserve"> e</w:t>
      </w:r>
      <w:r w:rsidRPr="001E76AF">
        <w:rPr>
          <w:rFonts w:cstheme="minorHAnsi"/>
          <w:b/>
          <w:bCs/>
          <w:outline/>
          <w:color w:val="804E38"/>
          <w:sz w:val="32"/>
          <w:szCs w:val="32"/>
          <w14:shadow w14:blurRad="0" w14:dist="38100" w14:dir="2700000" w14:sx="100000" w14:sy="100000" w14:kx="0" w14:ky="0" w14:algn="tl">
            <w14:srgbClr w14:val="804E38"/>
          </w14:shadow>
          <w14:reflection w14:blurRad="6350" w14:stA="55000" w14:stPos="0" w14:endA="50" w14:endPos="85000" w14:dist="60007" w14:dir="5400000" w14:fadeDir="5400000" w14:sx="100000" w14:sy="-100000" w14:kx="0" w14:ky="0" w14:algn="bl"/>
          <w14:textOutline w14:w="6604" w14:cap="flat" w14:cmpd="sng" w14:algn="ctr">
            <w14:solidFill>
              <w14:srgbClr w14:val="804E38"/>
            </w14:solidFill>
            <w14:prstDash w14:val="solid"/>
            <w14:round/>
          </w14:textOutline>
          <w14:textFill>
            <w14:solidFill>
              <w14:srgbClr w14:val="FFFFFF"/>
            </w14:solidFill>
          </w14:textFill>
        </w:rPr>
        <w:t xml:space="preserve"> la Borsa italiana e/o internazion</w:t>
      </w:r>
      <w:r w:rsidR="00441F68" w:rsidRPr="001E76AF">
        <w:rPr>
          <w:rFonts w:cstheme="minorHAnsi"/>
          <w:b/>
          <w:bCs/>
          <w:outline/>
          <w:color w:val="804E38"/>
          <w:sz w:val="32"/>
          <w:szCs w:val="32"/>
          <w14:shadow w14:blurRad="0" w14:dist="38100" w14:dir="2700000" w14:sx="100000" w14:sy="100000" w14:kx="0" w14:ky="0" w14:algn="tl">
            <w14:srgbClr w14:val="804E38"/>
          </w14:shadow>
          <w14:reflection w14:blurRad="6350" w14:stA="55000" w14:stPos="0" w14:endA="50" w14:endPos="85000" w14:dist="60007" w14:dir="5400000" w14:fadeDir="5400000" w14:sx="100000" w14:sy="-100000" w14:kx="0" w14:ky="0" w14:algn="bl"/>
          <w14:textOutline w14:w="6604" w14:cap="flat" w14:cmpd="sng" w14:algn="ctr">
            <w14:solidFill>
              <w14:srgbClr w14:val="804E38"/>
            </w14:solidFill>
            <w14:prstDash w14:val="solid"/>
            <w14:round/>
          </w14:textOutline>
          <w14:textFill>
            <w14:solidFill>
              <w14:srgbClr w14:val="FFFFFF"/>
            </w14:solidFill>
          </w14:textFill>
        </w:rPr>
        <w:t>ale</w:t>
      </w:r>
      <w:r w:rsidR="00510A8C" w:rsidRPr="001E76AF">
        <w:rPr>
          <w:rFonts w:cstheme="minorHAnsi"/>
          <w:b/>
          <w:bCs/>
          <w:outline/>
          <w:color w:val="804E38"/>
          <w:sz w:val="32"/>
          <w:szCs w:val="32"/>
          <w14:shadow w14:blurRad="0" w14:dist="38100" w14:dir="2700000" w14:sx="100000" w14:sy="100000" w14:kx="0" w14:ky="0" w14:algn="tl">
            <w14:srgbClr w14:val="804E38"/>
          </w14:shadow>
          <w14:reflection w14:blurRad="6350" w14:stA="55000" w14:stPos="0" w14:endA="50" w14:endPos="85000" w14:dist="60007" w14:dir="5400000" w14:fadeDir="5400000" w14:sx="100000" w14:sy="-100000" w14:kx="0" w14:ky="0" w14:algn="bl"/>
          <w14:textOutline w14:w="6604" w14:cap="flat" w14:cmpd="sng" w14:algn="ctr">
            <w14:solidFill>
              <w14:srgbClr w14:val="804E38"/>
            </w14:solidFill>
            <w14:prstDash w14:val="solid"/>
            <w14:round/>
          </w14:textOutline>
          <w14:textFill>
            <w14:solidFill>
              <w14:srgbClr w14:val="FFFFFF"/>
            </w14:solidFill>
          </w14:textFill>
        </w:rPr>
        <w:t xml:space="preserve"> </w:t>
      </w:r>
    </w:p>
    <w:p w14:paraId="01EB21F3" w14:textId="4FC54B0E" w:rsidR="002F71AA" w:rsidRPr="000E4BB8" w:rsidRDefault="002F71AA" w:rsidP="00816AB6">
      <w:pPr>
        <w:pStyle w:val="NormaleWeb"/>
        <w:shd w:val="clear" w:color="auto" w:fill="FFFFFF"/>
        <w:spacing w:before="0" w:beforeAutospacing="0" w:after="0" w:afterAutospacing="0" w:line="360" w:lineRule="atLeast"/>
        <w:rPr>
          <w:rFonts w:asciiTheme="minorHAnsi" w:hAnsiTheme="minorHAnsi" w:cstheme="minorHAnsi"/>
          <w:color w:val="272727"/>
        </w:rPr>
      </w:pPr>
      <w:r w:rsidRPr="000E4BB8">
        <w:rPr>
          <w:rFonts w:asciiTheme="minorHAnsi" w:hAnsiTheme="minorHAnsi" w:cstheme="minorHAnsi"/>
          <w:color w:val="272727"/>
        </w:rPr>
        <w:t>I</w:t>
      </w:r>
      <w:r w:rsidR="00540383" w:rsidRPr="000E4BB8">
        <w:rPr>
          <w:rFonts w:asciiTheme="minorHAnsi" w:hAnsiTheme="minorHAnsi" w:cstheme="minorHAnsi"/>
          <w:color w:val="272727"/>
        </w:rPr>
        <w:t>ren</w:t>
      </w:r>
      <w:r w:rsidRPr="000E4BB8">
        <w:rPr>
          <w:rFonts w:asciiTheme="minorHAnsi" w:hAnsiTheme="minorHAnsi" w:cstheme="minorHAnsi"/>
          <w:color w:val="272727"/>
        </w:rPr>
        <w:t xml:space="preserve"> nasce il 1° luglio 2010 dalla fusione di Enìa </w:t>
      </w:r>
      <w:r w:rsidR="001F2E5E" w:rsidRPr="000E4BB8">
        <w:rPr>
          <w:rFonts w:asciiTheme="minorHAnsi" w:hAnsiTheme="minorHAnsi" w:cstheme="minorHAnsi"/>
          <w:color w:val="272727"/>
        </w:rPr>
        <w:t>ed</w:t>
      </w:r>
      <w:r w:rsidRPr="000E4BB8">
        <w:rPr>
          <w:rFonts w:asciiTheme="minorHAnsi" w:hAnsiTheme="minorHAnsi" w:cstheme="minorHAnsi"/>
          <w:color w:val="272727"/>
        </w:rPr>
        <w:t xml:space="preserve"> Iride e si colloca ai vertici delle multiutilities nazionali con un posizionamento di rilievo nelle diverse aree di business</w:t>
      </w:r>
      <w:r w:rsidR="0084209C" w:rsidRPr="000E4BB8">
        <w:rPr>
          <w:rFonts w:asciiTheme="minorHAnsi" w:hAnsiTheme="minorHAnsi" w:cstheme="minorHAnsi"/>
          <w:color w:val="272727"/>
        </w:rPr>
        <w:t xml:space="preserve">. </w:t>
      </w:r>
      <w:r w:rsidR="001E76AF" w:rsidRPr="000E4BB8">
        <w:rPr>
          <w:rFonts w:asciiTheme="minorHAnsi" w:hAnsiTheme="minorHAnsi" w:cstheme="minorHAnsi"/>
          <w:color w:val="272727"/>
        </w:rPr>
        <w:t>Infatti,</w:t>
      </w:r>
      <w:r w:rsidR="0084209C" w:rsidRPr="000E4BB8">
        <w:rPr>
          <w:rFonts w:asciiTheme="minorHAnsi" w:hAnsiTheme="minorHAnsi" w:cstheme="minorHAnsi"/>
          <w:color w:val="272727"/>
        </w:rPr>
        <w:t xml:space="preserve"> I</w:t>
      </w:r>
      <w:r w:rsidR="00FC541F">
        <w:rPr>
          <w:rFonts w:asciiTheme="minorHAnsi" w:hAnsiTheme="minorHAnsi" w:cstheme="minorHAnsi"/>
          <w:color w:val="272727"/>
        </w:rPr>
        <w:t>ren</w:t>
      </w:r>
      <w:r w:rsidR="0084209C" w:rsidRPr="000E4BB8">
        <w:rPr>
          <w:rFonts w:asciiTheme="minorHAnsi" w:hAnsiTheme="minorHAnsi" w:cstheme="minorHAnsi"/>
          <w:color w:val="272727"/>
        </w:rPr>
        <w:t xml:space="preserve"> è a</w:t>
      </w:r>
      <w:r w:rsidR="00C92E05" w:rsidRPr="000E4BB8">
        <w:rPr>
          <w:rFonts w:asciiTheme="minorHAnsi" w:hAnsiTheme="minorHAnsi" w:cstheme="minorHAnsi"/>
          <w:color w:val="272727"/>
        </w:rPr>
        <w:t xml:space="preserve">ttiva </w:t>
      </w:r>
      <w:r w:rsidR="001D05F2" w:rsidRPr="000E4BB8">
        <w:rPr>
          <w:rFonts w:asciiTheme="minorHAnsi" w:hAnsiTheme="minorHAnsi" w:cstheme="minorHAnsi"/>
          <w:color w:val="272727"/>
        </w:rPr>
        <w:t>in</w:t>
      </w:r>
      <w:r w:rsidR="00C92E05" w:rsidRPr="000E4BB8">
        <w:rPr>
          <w:rFonts w:asciiTheme="minorHAnsi" w:hAnsiTheme="minorHAnsi" w:cstheme="minorHAnsi"/>
          <w:color w:val="272727"/>
        </w:rPr>
        <w:t xml:space="preserve"> diversi settori:</w:t>
      </w:r>
      <w:r w:rsidR="000D6FFE" w:rsidRPr="000E4BB8">
        <w:rPr>
          <w:rFonts w:asciiTheme="minorHAnsi" w:hAnsiTheme="minorHAnsi" w:cstheme="minorHAnsi"/>
          <w:color w:val="272727"/>
        </w:rPr>
        <w:t xml:space="preserve"> </w:t>
      </w:r>
      <w:r w:rsidR="00A90378" w:rsidRPr="000E4BB8">
        <w:rPr>
          <w:rFonts w:asciiTheme="minorHAnsi" w:hAnsiTheme="minorHAnsi" w:cstheme="minorHAnsi"/>
          <w:color w:val="272727"/>
        </w:rPr>
        <w:t>quello dell’</w:t>
      </w:r>
      <w:r w:rsidR="000D6FFE" w:rsidRPr="000E4BB8">
        <w:rPr>
          <w:rFonts w:asciiTheme="minorHAnsi" w:hAnsiTheme="minorHAnsi" w:cstheme="minorHAnsi"/>
          <w:b/>
          <w:bCs/>
          <w:color w:val="272727"/>
        </w:rPr>
        <w:t>energia elettrica</w:t>
      </w:r>
      <w:r w:rsidR="000D6FFE" w:rsidRPr="000E4BB8">
        <w:rPr>
          <w:rFonts w:asciiTheme="minorHAnsi" w:hAnsiTheme="minorHAnsi" w:cstheme="minorHAnsi"/>
          <w:color w:val="272727"/>
        </w:rPr>
        <w:t xml:space="preserve">, </w:t>
      </w:r>
      <w:r w:rsidR="00A90378" w:rsidRPr="000E4BB8">
        <w:rPr>
          <w:rFonts w:asciiTheme="minorHAnsi" w:hAnsiTheme="minorHAnsi" w:cstheme="minorHAnsi"/>
          <w:color w:val="272727"/>
        </w:rPr>
        <w:t xml:space="preserve">del </w:t>
      </w:r>
      <w:r w:rsidR="000D6FFE" w:rsidRPr="000E4BB8">
        <w:rPr>
          <w:rFonts w:asciiTheme="minorHAnsi" w:hAnsiTheme="minorHAnsi" w:cstheme="minorHAnsi"/>
          <w:b/>
          <w:bCs/>
          <w:color w:val="272727"/>
        </w:rPr>
        <w:t>gas</w:t>
      </w:r>
      <w:r w:rsidR="000D6FFE" w:rsidRPr="000E4BB8">
        <w:rPr>
          <w:rFonts w:asciiTheme="minorHAnsi" w:hAnsiTheme="minorHAnsi" w:cstheme="minorHAnsi"/>
          <w:color w:val="272727"/>
        </w:rPr>
        <w:t xml:space="preserve">, </w:t>
      </w:r>
      <w:r w:rsidR="00A90378" w:rsidRPr="000E4BB8">
        <w:rPr>
          <w:rFonts w:asciiTheme="minorHAnsi" w:hAnsiTheme="minorHAnsi" w:cstheme="minorHAnsi"/>
          <w:color w:val="272727"/>
        </w:rPr>
        <w:t>dell’</w:t>
      </w:r>
      <w:r w:rsidR="000D6FFE" w:rsidRPr="000E4BB8">
        <w:rPr>
          <w:rFonts w:asciiTheme="minorHAnsi" w:hAnsiTheme="minorHAnsi" w:cstheme="minorHAnsi"/>
          <w:b/>
          <w:bCs/>
          <w:color w:val="272727"/>
        </w:rPr>
        <w:t>energia termica per teleriscaldamento</w:t>
      </w:r>
      <w:r w:rsidR="00045117" w:rsidRPr="000E4BB8">
        <w:rPr>
          <w:rFonts w:asciiTheme="minorHAnsi" w:hAnsiTheme="minorHAnsi" w:cstheme="minorHAnsi"/>
          <w:color w:val="272727"/>
        </w:rPr>
        <w:t xml:space="preserve">, </w:t>
      </w:r>
      <w:r w:rsidR="00A90378" w:rsidRPr="000E4BB8">
        <w:rPr>
          <w:rFonts w:asciiTheme="minorHAnsi" w:hAnsiTheme="minorHAnsi" w:cstheme="minorHAnsi"/>
          <w:color w:val="272727"/>
        </w:rPr>
        <w:t xml:space="preserve">della </w:t>
      </w:r>
      <w:r w:rsidR="00045117" w:rsidRPr="000E4BB8">
        <w:rPr>
          <w:rFonts w:asciiTheme="minorHAnsi" w:hAnsiTheme="minorHAnsi" w:cstheme="minorHAnsi"/>
          <w:color w:val="272727"/>
        </w:rPr>
        <w:t xml:space="preserve">gestione dei </w:t>
      </w:r>
      <w:r w:rsidR="00045117" w:rsidRPr="000E4BB8">
        <w:rPr>
          <w:rFonts w:asciiTheme="minorHAnsi" w:hAnsiTheme="minorHAnsi" w:cstheme="minorHAnsi"/>
          <w:b/>
          <w:bCs/>
          <w:color w:val="272727"/>
        </w:rPr>
        <w:t>servizi idrici integrati</w:t>
      </w:r>
      <w:r w:rsidR="00A90378" w:rsidRPr="000E4BB8">
        <w:rPr>
          <w:rFonts w:asciiTheme="minorHAnsi" w:hAnsiTheme="minorHAnsi" w:cstheme="minorHAnsi"/>
          <w:color w:val="272727"/>
        </w:rPr>
        <w:t xml:space="preserve">, dei </w:t>
      </w:r>
      <w:r w:rsidR="00A90378" w:rsidRPr="000E4BB8">
        <w:rPr>
          <w:rFonts w:asciiTheme="minorHAnsi" w:hAnsiTheme="minorHAnsi" w:cstheme="minorHAnsi"/>
          <w:b/>
          <w:bCs/>
          <w:color w:val="272727"/>
        </w:rPr>
        <w:t xml:space="preserve">servizi ambientali </w:t>
      </w:r>
      <w:r w:rsidR="00A90378" w:rsidRPr="000E4BB8">
        <w:rPr>
          <w:rFonts w:asciiTheme="minorHAnsi" w:hAnsiTheme="minorHAnsi" w:cstheme="minorHAnsi"/>
          <w:color w:val="272727"/>
        </w:rPr>
        <w:t xml:space="preserve">e dei </w:t>
      </w:r>
      <w:r w:rsidR="00A90378" w:rsidRPr="000E4BB8">
        <w:rPr>
          <w:rFonts w:asciiTheme="minorHAnsi" w:hAnsiTheme="minorHAnsi" w:cstheme="minorHAnsi"/>
          <w:b/>
          <w:bCs/>
          <w:color w:val="272727"/>
        </w:rPr>
        <w:t>servizi tecnologici</w:t>
      </w:r>
      <w:r w:rsidR="001F1C65" w:rsidRPr="000E4BB8">
        <w:rPr>
          <w:rFonts w:asciiTheme="minorHAnsi" w:hAnsiTheme="minorHAnsi" w:cstheme="minorHAnsi"/>
          <w:color w:val="272727"/>
        </w:rPr>
        <w:t xml:space="preserve">. </w:t>
      </w:r>
    </w:p>
    <w:p w14:paraId="749633F9" w14:textId="594A7D1A" w:rsidR="001D7AF1" w:rsidRPr="000E4BB8" w:rsidRDefault="00160350" w:rsidP="00816AB6">
      <w:pPr>
        <w:pStyle w:val="NormaleWeb"/>
        <w:shd w:val="clear" w:color="auto" w:fill="FFFFFF"/>
        <w:spacing w:before="0" w:beforeAutospacing="0" w:after="0" w:afterAutospacing="0" w:line="360" w:lineRule="atLeast"/>
        <w:rPr>
          <w:rFonts w:asciiTheme="minorHAnsi" w:hAnsiTheme="minorHAnsi" w:cstheme="minorHAnsi"/>
          <w:color w:val="272727"/>
        </w:rPr>
      </w:pPr>
      <w:r w:rsidRPr="000E4BB8">
        <w:rPr>
          <w:rFonts w:asciiTheme="minorHAnsi" w:hAnsiTheme="minorHAnsi" w:cstheme="minorHAnsi"/>
          <w:color w:val="272727"/>
          <w:shd w:val="clear" w:color="auto" w:fill="FFFFFF"/>
        </w:rPr>
        <w:t>Iren è produttore energetico attivo in un bacino multiregionale con oltre </w:t>
      </w:r>
      <w:r w:rsidRPr="000E4BB8">
        <w:rPr>
          <w:rFonts w:asciiTheme="minorHAnsi" w:hAnsiTheme="minorHAnsi" w:cstheme="minorHAnsi"/>
          <w:b/>
          <w:bCs/>
          <w:color w:val="272727"/>
          <w:shd w:val="clear" w:color="auto" w:fill="FFFFFF"/>
        </w:rPr>
        <w:t>10.000 dipendenti</w:t>
      </w:r>
      <w:r w:rsidRPr="000E4BB8">
        <w:rPr>
          <w:rFonts w:asciiTheme="minorHAnsi" w:hAnsiTheme="minorHAnsi" w:cstheme="minorHAnsi"/>
          <w:color w:val="272727"/>
          <w:shd w:val="clear" w:color="auto" w:fill="FFFFFF"/>
        </w:rPr>
        <w:t>, un portafoglio di oltre </w:t>
      </w:r>
      <w:r w:rsidRPr="000E4BB8">
        <w:rPr>
          <w:rFonts w:asciiTheme="minorHAnsi" w:hAnsiTheme="minorHAnsi" w:cstheme="minorHAnsi"/>
          <w:b/>
          <w:bCs/>
          <w:color w:val="272727"/>
          <w:shd w:val="clear" w:color="auto" w:fill="FFFFFF"/>
        </w:rPr>
        <w:t>2 milioni di clienti</w:t>
      </w:r>
      <w:r w:rsidRPr="000E4BB8">
        <w:rPr>
          <w:rFonts w:asciiTheme="minorHAnsi" w:hAnsiTheme="minorHAnsi" w:cstheme="minorHAnsi"/>
          <w:color w:val="272727"/>
          <w:shd w:val="clear" w:color="auto" w:fill="FFFFFF"/>
        </w:rPr>
        <w:t> nel settore </w:t>
      </w:r>
      <w:r w:rsidRPr="000E4BB8">
        <w:rPr>
          <w:rFonts w:asciiTheme="minorHAnsi" w:hAnsiTheme="minorHAnsi" w:cstheme="minorHAnsi"/>
          <w:b/>
          <w:bCs/>
          <w:color w:val="272727"/>
          <w:shd w:val="clear" w:color="auto" w:fill="FFFFFF"/>
        </w:rPr>
        <w:t>energetico</w:t>
      </w:r>
      <w:r w:rsidRPr="000E4BB8">
        <w:rPr>
          <w:rFonts w:asciiTheme="minorHAnsi" w:hAnsiTheme="minorHAnsi" w:cstheme="minorHAnsi"/>
          <w:color w:val="272727"/>
          <w:shd w:val="clear" w:color="auto" w:fill="FFFFFF"/>
        </w:rPr>
        <w:t>, circa </w:t>
      </w:r>
      <w:r w:rsidRPr="000E4BB8">
        <w:rPr>
          <w:rFonts w:asciiTheme="minorHAnsi" w:hAnsiTheme="minorHAnsi" w:cstheme="minorHAnsi"/>
          <w:b/>
          <w:bCs/>
          <w:color w:val="272727"/>
          <w:shd w:val="clear" w:color="auto" w:fill="FFFFFF"/>
        </w:rPr>
        <w:t>2,7 milioni di abitanti serviti </w:t>
      </w:r>
      <w:r w:rsidRPr="000E4BB8">
        <w:rPr>
          <w:rFonts w:asciiTheme="minorHAnsi" w:hAnsiTheme="minorHAnsi" w:cstheme="minorHAnsi"/>
          <w:color w:val="272727"/>
          <w:shd w:val="clear" w:color="auto" w:fill="FFFFFF"/>
        </w:rPr>
        <w:t>nel ciclo </w:t>
      </w:r>
      <w:r w:rsidRPr="000E4BB8">
        <w:rPr>
          <w:rFonts w:asciiTheme="minorHAnsi" w:hAnsiTheme="minorHAnsi" w:cstheme="minorHAnsi"/>
          <w:b/>
          <w:bCs/>
          <w:color w:val="272727"/>
          <w:shd w:val="clear" w:color="auto" w:fill="FFFFFF"/>
        </w:rPr>
        <w:t>idrico </w:t>
      </w:r>
      <w:r w:rsidRPr="000E4BB8">
        <w:rPr>
          <w:rFonts w:asciiTheme="minorHAnsi" w:hAnsiTheme="minorHAnsi" w:cstheme="minorHAnsi"/>
          <w:color w:val="272727"/>
          <w:shd w:val="clear" w:color="auto" w:fill="FFFFFF"/>
        </w:rPr>
        <w:t>integrato e circa </w:t>
      </w:r>
      <w:r w:rsidRPr="000E4BB8">
        <w:rPr>
          <w:rFonts w:asciiTheme="minorHAnsi" w:hAnsiTheme="minorHAnsi" w:cstheme="minorHAnsi"/>
          <w:b/>
          <w:bCs/>
          <w:color w:val="272727"/>
          <w:shd w:val="clear" w:color="auto" w:fill="FFFFFF"/>
        </w:rPr>
        <w:t>3 milioni di abitanti</w:t>
      </w:r>
      <w:r w:rsidRPr="000E4BB8">
        <w:rPr>
          <w:rFonts w:asciiTheme="minorHAnsi" w:hAnsiTheme="minorHAnsi" w:cstheme="minorHAnsi"/>
          <w:color w:val="272727"/>
          <w:shd w:val="clear" w:color="auto" w:fill="FFFFFF"/>
        </w:rPr>
        <w:t> nel ciclo </w:t>
      </w:r>
      <w:r w:rsidRPr="000E4BB8">
        <w:rPr>
          <w:rFonts w:asciiTheme="minorHAnsi" w:hAnsiTheme="minorHAnsi" w:cstheme="minorHAnsi"/>
          <w:b/>
          <w:bCs/>
          <w:color w:val="272727"/>
          <w:shd w:val="clear" w:color="auto" w:fill="FFFFFF"/>
        </w:rPr>
        <w:t>ambientale</w:t>
      </w:r>
      <w:r w:rsidRPr="000E4BB8">
        <w:rPr>
          <w:rFonts w:asciiTheme="minorHAnsi" w:hAnsiTheme="minorHAnsi" w:cstheme="minorHAnsi"/>
          <w:color w:val="272727"/>
          <w:shd w:val="clear" w:color="auto" w:fill="FFFFFF"/>
        </w:rPr>
        <w:t>. </w:t>
      </w:r>
      <w:r w:rsidR="001D7AF1" w:rsidRPr="000E4BB8">
        <w:rPr>
          <w:rFonts w:asciiTheme="minorHAnsi" w:hAnsiTheme="minorHAnsi" w:cstheme="minorHAnsi"/>
          <w:color w:val="272727"/>
        </w:rPr>
        <w:br/>
      </w:r>
      <w:r w:rsidR="002E111C" w:rsidRPr="000E4BB8">
        <w:rPr>
          <w:rFonts w:asciiTheme="minorHAnsi" w:hAnsiTheme="minorHAnsi" w:cstheme="minorHAnsi"/>
          <w:color w:val="272727"/>
          <w:shd w:val="clear" w:color="auto" w:fill="FFFFFF"/>
        </w:rPr>
        <w:t xml:space="preserve">Iren è una holding industriale con sede a </w:t>
      </w:r>
      <w:r w:rsidR="002E111C" w:rsidRPr="000E4BB8">
        <w:rPr>
          <w:rFonts w:asciiTheme="minorHAnsi" w:hAnsiTheme="minorHAnsi" w:cstheme="minorHAnsi"/>
          <w:b/>
          <w:bCs/>
          <w:color w:val="272727"/>
          <w:shd w:val="clear" w:color="auto" w:fill="FFFFFF"/>
        </w:rPr>
        <w:t xml:space="preserve">Reggio Emilia </w:t>
      </w:r>
      <w:r w:rsidR="0056612D" w:rsidRPr="000E4BB8">
        <w:rPr>
          <w:rFonts w:asciiTheme="minorHAnsi" w:hAnsiTheme="minorHAnsi" w:cstheme="minorHAnsi"/>
          <w:color w:val="272727"/>
          <w:shd w:val="clear" w:color="auto" w:fill="FFFFFF"/>
        </w:rPr>
        <w:t xml:space="preserve">e poli operativi a </w:t>
      </w:r>
      <w:r w:rsidR="0056612D" w:rsidRPr="000E4BB8">
        <w:rPr>
          <w:rFonts w:asciiTheme="minorHAnsi" w:hAnsiTheme="minorHAnsi" w:cstheme="minorHAnsi"/>
          <w:b/>
          <w:bCs/>
          <w:color w:val="272727"/>
          <w:shd w:val="clear" w:color="auto" w:fill="FFFFFF"/>
        </w:rPr>
        <w:t>Genova</w:t>
      </w:r>
      <w:r w:rsidR="0056612D" w:rsidRPr="000E4BB8">
        <w:rPr>
          <w:rFonts w:asciiTheme="minorHAnsi" w:hAnsiTheme="minorHAnsi" w:cstheme="minorHAnsi"/>
          <w:color w:val="272727"/>
          <w:shd w:val="clear" w:color="auto" w:fill="FFFFFF"/>
        </w:rPr>
        <w:t xml:space="preserve">, </w:t>
      </w:r>
      <w:r w:rsidR="0056612D" w:rsidRPr="000E4BB8">
        <w:rPr>
          <w:rFonts w:asciiTheme="minorHAnsi" w:hAnsiTheme="minorHAnsi" w:cstheme="minorHAnsi"/>
          <w:b/>
          <w:bCs/>
          <w:color w:val="272727"/>
          <w:shd w:val="clear" w:color="auto" w:fill="FFFFFF"/>
        </w:rPr>
        <w:t>Parma</w:t>
      </w:r>
      <w:r w:rsidR="00826456" w:rsidRPr="000E4BB8">
        <w:rPr>
          <w:rFonts w:asciiTheme="minorHAnsi" w:hAnsiTheme="minorHAnsi" w:cstheme="minorHAnsi"/>
          <w:color w:val="272727"/>
          <w:shd w:val="clear" w:color="auto" w:fill="FFFFFF"/>
        </w:rPr>
        <w:t xml:space="preserve">, </w:t>
      </w:r>
      <w:r w:rsidR="00826456" w:rsidRPr="000E4BB8">
        <w:rPr>
          <w:rFonts w:asciiTheme="minorHAnsi" w:hAnsiTheme="minorHAnsi" w:cstheme="minorHAnsi"/>
          <w:b/>
          <w:bCs/>
          <w:color w:val="272727"/>
          <w:shd w:val="clear" w:color="auto" w:fill="FFFFFF"/>
        </w:rPr>
        <w:t>Piacenza</w:t>
      </w:r>
      <w:r w:rsidR="00826456" w:rsidRPr="000E4BB8">
        <w:rPr>
          <w:rFonts w:asciiTheme="minorHAnsi" w:hAnsiTheme="minorHAnsi" w:cstheme="minorHAnsi"/>
          <w:color w:val="272727"/>
          <w:shd w:val="clear" w:color="auto" w:fill="FFFFFF"/>
        </w:rPr>
        <w:t xml:space="preserve">, </w:t>
      </w:r>
      <w:r w:rsidR="00826456" w:rsidRPr="000E4BB8">
        <w:rPr>
          <w:rFonts w:asciiTheme="minorHAnsi" w:hAnsiTheme="minorHAnsi" w:cstheme="minorHAnsi"/>
          <w:b/>
          <w:bCs/>
          <w:color w:val="272727"/>
          <w:shd w:val="clear" w:color="auto" w:fill="FFFFFF"/>
        </w:rPr>
        <w:t>Reggio Emilia</w:t>
      </w:r>
      <w:r w:rsidR="00826456" w:rsidRPr="000E4BB8">
        <w:rPr>
          <w:rFonts w:asciiTheme="minorHAnsi" w:hAnsiTheme="minorHAnsi" w:cstheme="minorHAnsi"/>
          <w:color w:val="272727"/>
          <w:shd w:val="clear" w:color="auto" w:fill="FFFFFF"/>
        </w:rPr>
        <w:t>,</w:t>
      </w:r>
      <w:r w:rsidR="00C82C00" w:rsidRPr="000E4BB8">
        <w:rPr>
          <w:rFonts w:asciiTheme="minorHAnsi" w:hAnsiTheme="minorHAnsi" w:cstheme="minorHAnsi"/>
          <w:color w:val="272727"/>
          <w:shd w:val="clear" w:color="auto" w:fill="FFFFFF"/>
        </w:rPr>
        <w:t xml:space="preserve"> </w:t>
      </w:r>
      <w:r w:rsidR="00C82C00" w:rsidRPr="000E4BB8">
        <w:rPr>
          <w:rFonts w:asciiTheme="minorHAnsi" w:hAnsiTheme="minorHAnsi" w:cstheme="minorHAnsi"/>
          <w:b/>
          <w:bCs/>
          <w:color w:val="272727"/>
          <w:shd w:val="clear" w:color="auto" w:fill="FFFFFF"/>
        </w:rPr>
        <w:t>Torino</w:t>
      </w:r>
      <w:r w:rsidR="00C82C00" w:rsidRPr="000E4BB8">
        <w:rPr>
          <w:rFonts w:asciiTheme="minorHAnsi" w:hAnsiTheme="minorHAnsi" w:cstheme="minorHAnsi"/>
          <w:color w:val="272727"/>
          <w:shd w:val="clear" w:color="auto" w:fill="FFFFFF"/>
        </w:rPr>
        <w:t xml:space="preserve">, </w:t>
      </w:r>
      <w:r w:rsidR="00C82C00" w:rsidRPr="000E4BB8">
        <w:rPr>
          <w:rFonts w:asciiTheme="minorHAnsi" w:hAnsiTheme="minorHAnsi" w:cstheme="minorHAnsi"/>
          <w:b/>
          <w:bCs/>
          <w:color w:val="272727"/>
          <w:shd w:val="clear" w:color="auto" w:fill="FFFFFF"/>
        </w:rPr>
        <w:t>La Spezi</w:t>
      </w:r>
      <w:r w:rsidR="00C02856" w:rsidRPr="000E4BB8">
        <w:rPr>
          <w:rFonts w:asciiTheme="minorHAnsi" w:hAnsiTheme="minorHAnsi" w:cstheme="minorHAnsi"/>
          <w:b/>
          <w:bCs/>
          <w:color w:val="272727"/>
          <w:shd w:val="clear" w:color="auto" w:fill="FFFFFF"/>
        </w:rPr>
        <w:t xml:space="preserve">a </w:t>
      </w:r>
      <w:r w:rsidR="00C02856" w:rsidRPr="000E4BB8">
        <w:rPr>
          <w:rFonts w:asciiTheme="minorHAnsi" w:hAnsiTheme="minorHAnsi" w:cstheme="minorHAnsi"/>
          <w:color w:val="272727"/>
          <w:shd w:val="clear" w:color="auto" w:fill="FFFFFF"/>
        </w:rPr>
        <w:t xml:space="preserve">e </w:t>
      </w:r>
      <w:r w:rsidR="00C02856" w:rsidRPr="000E4BB8">
        <w:rPr>
          <w:rFonts w:asciiTheme="minorHAnsi" w:hAnsiTheme="minorHAnsi" w:cstheme="minorHAnsi"/>
          <w:b/>
          <w:bCs/>
          <w:color w:val="272727"/>
          <w:shd w:val="clear" w:color="auto" w:fill="FFFFFF"/>
        </w:rPr>
        <w:t>Vercelli</w:t>
      </w:r>
      <w:r w:rsidR="00C02856" w:rsidRPr="000E4BB8">
        <w:rPr>
          <w:rFonts w:asciiTheme="minorHAnsi" w:hAnsiTheme="minorHAnsi" w:cstheme="minorHAnsi"/>
          <w:color w:val="272727"/>
          <w:shd w:val="clear" w:color="auto" w:fill="FFFFFF"/>
        </w:rPr>
        <w:t>.</w:t>
      </w:r>
      <w:r w:rsidR="006C55A4" w:rsidRPr="000E4BB8">
        <w:rPr>
          <w:rFonts w:asciiTheme="minorHAnsi" w:hAnsiTheme="minorHAnsi" w:cstheme="minorHAnsi"/>
          <w:b/>
          <w:bCs/>
          <w:color w:val="272727"/>
          <w:shd w:val="clear" w:color="auto" w:fill="FFFFFF"/>
        </w:rPr>
        <w:t xml:space="preserve"> </w:t>
      </w:r>
      <w:r w:rsidR="001D7AF1" w:rsidRPr="000E4BB8">
        <w:rPr>
          <w:rFonts w:asciiTheme="minorHAnsi" w:hAnsiTheme="minorHAnsi" w:cstheme="minorHAnsi"/>
          <w:color w:val="272727"/>
          <w:shd w:val="clear" w:color="auto" w:fill="FFFFFF"/>
        </w:rPr>
        <w:t>Alla capogruppo Iren fanno capo le attività strategiche, amministrative, di sviluppo, coordinamento e controllo</w:t>
      </w:r>
      <w:r w:rsidR="00817C8E" w:rsidRPr="000E4BB8">
        <w:rPr>
          <w:rFonts w:asciiTheme="minorHAnsi" w:hAnsiTheme="minorHAnsi" w:cstheme="minorHAnsi"/>
          <w:color w:val="272727"/>
          <w:shd w:val="clear" w:color="auto" w:fill="FFFFFF"/>
        </w:rPr>
        <w:t>;</w:t>
      </w:r>
      <w:r w:rsidR="00F6537F" w:rsidRPr="000E4BB8">
        <w:rPr>
          <w:rFonts w:asciiTheme="minorHAnsi" w:hAnsiTheme="minorHAnsi" w:cstheme="minorHAnsi"/>
          <w:color w:val="272727"/>
          <w:shd w:val="clear" w:color="auto" w:fill="FFFFFF"/>
        </w:rPr>
        <w:t xml:space="preserve"> </w:t>
      </w:r>
      <w:r w:rsidR="00967DDD" w:rsidRPr="000E4BB8">
        <w:rPr>
          <w:rFonts w:asciiTheme="minorHAnsi" w:hAnsiTheme="minorHAnsi" w:cstheme="minorHAnsi"/>
          <w:color w:val="272727"/>
          <w:shd w:val="clear" w:color="auto" w:fill="FFFFFF"/>
        </w:rPr>
        <w:t xml:space="preserve">invece, alle quattro società Iren Energia, Iren Mercato, IRETI </w:t>
      </w:r>
      <w:r w:rsidR="006C55A4" w:rsidRPr="000E4BB8">
        <w:rPr>
          <w:rFonts w:asciiTheme="minorHAnsi" w:hAnsiTheme="minorHAnsi" w:cstheme="minorHAnsi"/>
          <w:color w:val="272727"/>
          <w:shd w:val="clear" w:color="auto" w:fill="FFFFFF"/>
        </w:rPr>
        <w:t>e Iren Ambiente fanno capo le attività per linea di business.</w:t>
      </w:r>
    </w:p>
    <w:p w14:paraId="096DF4BC" w14:textId="32EE16C0" w:rsidR="00DD5F45" w:rsidRDefault="00DD5F45" w:rsidP="009B373D">
      <w:pPr>
        <w:rPr>
          <w:sz w:val="24"/>
          <w:szCs w:val="24"/>
        </w:rPr>
      </w:pPr>
    </w:p>
    <w:p w14:paraId="34641DDB" w14:textId="6CC48DF9" w:rsidR="00733548" w:rsidRDefault="00733548" w:rsidP="00733548">
      <w:pPr>
        <w:rPr>
          <w:sz w:val="24"/>
          <w:szCs w:val="24"/>
        </w:rPr>
      </w:pPr>
    </w:p>
    <w:p w14:paraId="4376F946" w14:textId="1C46A741" w:rsidR="0005683C" w:rsidRPr="0005683C" w:rsidRDefault="0005683C" w:rsidP="009B373D"/>
    <w:p w14:paraId="34943A85" w14:textId="1FBBF4F2" w:rsidR="0049140B" w:rsidRDefault="0049140B" w:rsidP="00CF6186">
      <w:pPr>
        <w:rPr>
          <w:rFonts w:cstheme="minorHAnsi"/>
          <w:sz w:val="32"/>
          <w:szCs w:val="32"/>
        </w:rPr>
      </w:pPr>
    </w:p>
    <w:p w14:paraId="2087436E" w14:textId="388EFEEE" w:rsidR="00165323" w:rsidRPr="00165323" w:rsidRDefault="00165323" w:rsidP="00165323">
      <w:pPr>
        <w:rPr>
          <w:rFonts w:cstheme="minorHAnsi"/>
          <w:sz w:val="32"/>
          <w:szCs w:val="32"/>
        </w:rPr>
      </w:pPr>
    </w:p>
    <w:p w14:paraId="2F814FA9" w14:textId="13B597D8" w:rsidR="00165323" w:rsidRPr="00165323" w:rsidRDefault="003A435B" w:rsidP="00165323">
      <w:pPr>
        <w:rPr>
          <w:rFonts w:cstheme="minorHAnsi"/>
          <w:sz w:val="32"/>
          <w:szCs w:val="32"/>
        </w:rPr>
      </w:pPr>
      <w:r w:rsidRPr="00673827">
        <w:rPr>
          <w:rFonts w:cstheme="minorHAnsi"/>
          <w:noProof/>
          <w:sz w:val="32"/>
          <w:szCs w:val="32"/>
          <w:lang w:eastAsia="it-IT"/>
        </w:rPr>
        <w:lastRenderedPageBreak/>
        <w:drawing>
          <wp:anchor distT="0" distB="0" distL="114300" distR="114300" simplePos="0" relativeHeight="251658249" behindDoc="0" locked="0" layoutInCell="1" allowOverlap="1" wp14:anchorId="18974594" wp14:editId="278C86A5">
            <wp:simplePos x="0" y="0"/>
            <wp:positionH relativeFrom="margin">
              <wp:posOffset>-180867</wp:posOffset>
            </wp:positionH>
            <wp:positionV relativeFrom="paragraph">
              <wp:posOffset>-65500</wp:posOffset>
            </wp:positionV>
            <wp:extent cx="6332220" cy="4766310"/>
            <wp:effectExtent l="0" t="0" r="0" b="0"/>
            <wp:wrapNone/>
            <wp:docPr id="139132827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328275" name="Immagine 1"/>
                    <pic:cNvPicPr/>
                  </pic:nvPicPr>
                  <pic:blipFill>
                    <a:blip r:embed="rId38">
                      <a:extLst>
                        <a:ext uri="{28A0092B-C50C-407E-A947-70E740481C1C}">
                          <a14:useLocalDpi xmlns:a14="http://schemas.microsoft.com/office/drawing/2010/main" val="0"/>
                        </a:ext>
                      </a:extLst>
                    </a:blip>
                    <a:stretch>
                      <a:fillRect/>
                    </a:stretch>
                  </pic:blipFill>
                  <pic:spPr>
                    <a:xfrm>
                      <a:off x="0" y="0"/>
                      <a:ext cx="6332220" cy="4766310"/>
                    </a:xfrm>
                    <a:prstGeom prst="rect">
                      <a:avLst/>
                    </a:prstGeom>
                  </pic:spPr>
                </pic:pic>
              </a:graphicData>
            </a:graphic>
            <wp14:sizeRelV relativeFrom="margin">
              <wp14:pctHeight>0</wp14:pctHeight>
            </wp14:sizeRelV>
          </wp:anchor>
        </w:drawing>
      </w:r>
    </w:p>
    <w:p w14:paraId="547140E7" w14:textId="7855F97E" w:rsidR="00165323" w:rsidRPr="00165323" w:rsidRDefault="00165323" w:rsidP="00165323">
      <w:pPr>
        <w:rPr>
          <w:rFonts w:cstheme="minorHAnsi"/>
          <w:sz w:val="32"/>
          <w:szCs w:val="32"/>
        </w:rPr>
      </w:pPr>
    </w:p>
    <w:p w14:paraId="301800D5" w14:textId="743B29EB" w:rsidR="00165323" w:rsidRPr="00165323" w:rsidRDefault="00165323" w:rsidP="00165323">
      <w:pPr>
        <w:rPr>
          <w:rFonts w:cstheme="minorHAnsi"/>
          <w:sz w:val="32"/>
          <w:szCs w:val="32"/>
        </w:rPr>
      </w:pPr>
    </w:p>
    <w:p w14:paraId="16E54FC2" w14:textId="130E1240" w:rsidR="00165323" w:rsidRPr="00165323" w:rsidRDefault="00165323" w:rsidP="00165323">
      <w:pPr>
        <w:rPr>
          <w:rFonts w:cstheme="minorHAnsi"/>
          <w:sz w:val="32"/>
          <w:szCs w:val="32"/>
        </w:rPr>
      </w:pPr>
    </w:p>
    <w:p w14:paraId="61FA25D2" w14:textId="494BBF85" w:rsidR="00165323" w:rsidRPr="00165323" w:rsidRDefault="00165323" w:rsidP="00165323">
      <w:pPr>
        <w:rPr>
          <w:rFonts w:cstheme="minorHAnsi"/>
          <w:sz w:val="32"/>
          <w:szCs w:val="32"/>
        </w:rPr>
      </w:pPr>
    </w:p>
    <w:p w14:paraId="473A3631" w14:textId="287B1FF3" w:rsidR="00165323" w:rsidRPr="00165323" w:rsidRDefault="00165323" w:rsidP="00165323">
      <w:pPr>
        <w:rPr>
          <w:rFonts w:cstheme="minorHAnsi"/>
          <w:sz w:val="32"/>
          <w:szCs w:val="32"/>
        </w:rPr>
      </w:pPr>
    </w:p>
    <w:p w14:paraId="1F932C6D" w14:textId="77777777" w:rsidR="00165323" w:rsidRPr="00165323" w:rsidRDefault="00165323" w:rsidP="00165323">
      <w:pPr>
        <w:rPr>
          <w:rFonts w:cstheme="minorHAnsi"/>
          <w:sz w:val="32"/>
          <w:szCs w:val="32"/>
        </w:rPr>
      </w:pPr>
    </w:p>
    <w:p w14:paraId="0E458A2D" w14:textId="77777777" w:rsidR="00165323" w:rsidRPr="00165323" w:rsidRDefault="00165323" w:rsidP="00165323">
      <w:pPr>
        <w:rPr>
          <w:rFonts w:cstheme="minorHAnsi"/>
          <w:sz w:val="32"/>
          <w:szCs w:val="32"/>
        </w:rPr>
      </w:pPr>
    </w:p>
    <w:p w14:paraId="5538DA6D" w14:textId="77777777" w:rsidR="00165323" w:rsidRPr="00165323" w:rsidRDefault="00165323" w:rsidP="00165323">
      <w:pPr>
        <w:rPr>
          <w:rFonts w:cstheme="minorHAnsi"/>
          <w:sz w:val="32"/>
          <w:szCs w:val="32"/>
        </w:rPr>
      </w:pPr>
    </w:p>
    <w:p w14:paraId="558871DB" w14:textId="77777777" w:rsidR="00165323" w:rsidRPr="00165323" w:rsidRDefault="00165323" w:rsidP="00165323">
      <w:pPr>
        <w:rPr>
          <w:rFonts w:cstheme="minorHAnsi"/>
          <w:sz w:val="32"/>
          <w:szCs w:val="32"/>
        </w:rPr>
      </w:pPr>
    </w:p>
    <w:p w14:paraId="73B1890D" w14:textId="77777777" w:rsidR="00165323" w:rsidRDefault="00165323" w:rsidP="00165323">
      <w:pPr>
        <w:rPr>
          <w:rFonts w:cstheme="minorHAnsi"/>
          <w:sz w:val="32"/>
          <w:szCs w:val="32"/>
        </w:rPr>
      </w:pPr>
    </w:p>
    <w:p w14:paraId="604C672B" w14:textId="77777777" w:rsidR="003A435B" w:rsidRDefault="003A435B" w:rsidP="00165323"/>
    <w:p w14:paraId="2C6171FF" w14:textId="77777777" w:rsidR="003A435B" w:rsidRDefault="003A435B" w:rsidP="00165323"/>
    <w:p w14:paraId="26823F72" w14:textId="77777777" w:rsidR="003A435B" w:rsidRDefault="003A435B" w:rsidP="00165323"/>
    <w:p w14:paraId="0721F0B8" w14:textId="315F0CFE" w:rsidR="00165323" w:rsidRPr="000E4BB8" w:rsidRDefault="00000000" w:rsidP="00165323">
      <w:pPr>
        <w:rPr>
          <w:rFonts w:cstheme="minorHAnsi"/>
          <w:color w:val="272727"/>
          <w:sz w:val="24"/>
          <w:szCs w:val="24"/>
          <w:shd w:val="clear" w:color="auto" w:fill="FFFFFF"/>
        </w:rPr>
      </w:pPr>
      <w:hyperlink r:id="rId39" w:history="1">
        <w:r w:rsidR="00165323" w:rsidRPr="000E4BB8">
          <w:rPr>
            <w:rStyle w:val="Collegamentoipertestuale"/>
            <w:rFonts w:cstheme="minorHAnsi"/>
            <w:b/>
            <w:bCs/>
            <w:color w:val="000000"/>
            <w:sz w:val="24"/>
            <w:szCs w:val="24"/>
            <w:shd w:val="clear" w:color="auto" w:fill="FFFFFF"/>
          </w:rPr>
          <w:t>Iren Energia</w:t>
        </w:r>
      </w:hyperlink>
      <w:r w:rsidR="00165323" w:rsidRPr="000E4BB8">
        <w:rPr>
          <w:rFonts w:cstheme="minorHAnsi"/>
          <w:color w:val="272727"/>
          <w:sz w:val="24"/>
          <w:szCs w:val="24"/>
          <w:shd w:val="clear" w:color="auto" w:fill="FFFFFF"/>
        </w:rPr>
        <w:t>,</w:t>
      </w:r>
      <w:r w:rsidR="00165323" w:rsidRPr="000E4BB8">
        <w:rPr>
          <w:rFonts w:cstheme="minorHAnsi"/>
          <w:b/>
          <w:bCs/>
          <w:color w:val="272727"/>
          <w:sz w:val="24"/>
          <w:szCs w:val="24"/>
          <w:shd w:val="clear" w:color="auto" w:fill="FFFFFF"/>
        </w:rPr>
        <w:t> </w:t>
      </w:r>
      <w:proofErr w:type="spellStart"/>
      <w:r w:rsidR="00165323" w:rsidRPr="000E4BB8">
        <w:rPr>
          <w:rFonts w:cstheme="minorHAnsi"/>
          <w:b/>
          <w:bCs/>
          <w:color w:val="272727"/>
          <w:sz w:val="24"/>
          <w:szCs w:val="24"/>
          <w:shd w:val="clear" w:color="auto" w:fill="FFFFFF"/>
        </w:rPr>
        <w:t>capofiliera</w:t>
      </w:r>
      <w:proofErr w:type="spellEnd"/>
      <w:r w:rsidR="00165323" w:rsidRPr="000E4BB8">
        <w:rPr>
          <w:rFonts w:cstheme="minorHAnsi"/>
          <w:b/>
          <w:bCs/>
          <w:color w:val="272727"/>
          <w:sz w:val="24"/>
          <w:szCs w:val="24"/>
          <w:shd w:val="clear" w:color="auto" w:fill="FFFFFF"/>
        </w:rPr>
        <w:t> della Business Unit “Energia”</w:t>
      </w:r>
      <w:r w:rsidR="00165323" w:rsidRPr="000E4BB8">
        <w:rPr>
          <w:rFonts w:cstheme="minorHAnsi"/>
          <w:color w:val="272727"/>
          <w:sz w:val="24"/>
          <w:szCs w:val="24"/>
          <w:shd w:val="clear" w:color="auto" w:fill="FFFFFF"/>
        </w:rPr>
        <w:t>, è la società del gruppo Iren che produce, distribuisce e vende energia elettrica, gas, prodotti e servizi per enti pubblici, aziende e privati.</w:t>
      </w:r>
    </w:p>
    <w:p w14:paraId="633C53EB" w14:textId="77777777" w:rsidR="00C10CEE" w:rsidRPr="000E4BB8" w:rsidRDefault="00C10CEE" w:rsidP="00165323">
      <w:pPr>
        <w:rPr>
          <w:rFonts w:cstheme="minorHAnsi"/>
          <w:sz w:val="24"/>
          <w:szCs w:val="24"/>
        </w:rPr>
      </w:pPr>
    </w:p>
    <w:p w14:paraId="62782B29" w14:textId="3E306FC3" w:rsidR="00165323" w:rsidRPr="000E4BB8" w:rsidRDefault="00000000" w:rsidP="00165323">
      <w:pPr>
        <w:rPr>
          <w:rFonts w:cstheme="minorHAnsi"/>
          <w:color w:val="272727"/>
          <w:sz w:val="24"/>
          <w:szCs w:val="24"/>
          <w:shd w:val="clear" w:color="auto" w:fill="FFFFFF"/>
        </w:rPr>
      </w:pPr>
      <w:hyperlink r:id="rId40" w:tgtFrame="_blank" w:tooltip="vai al sito dedicato" w:history="1">
        <w:r w:rsidR="00D62642" w:rsidRPr="000E4BB8">
          <w:rPr>
            <w:rStyle w:val="Collegamentoipertestuale"/>
            <w:rFonts w:cstheme="minorHAnsi"/>
            <w:b/>
            <w:bCs/>
            <w:color w:val="000000"/>
            <w:sz w:val="24"/>
            <w:szCs w:val="24"/>
            <w:shd w:val="clear" w:color="auto" w:fill="FFFFFF"/>
          </w:rPr>
          <w:t>Iren Mercato</w:t>
        </w:r>
      </w:hyperlink>
      <w:r w:rsidR="00D62642" w:rsidRPr="000E4BB8">
        <w:rPr>
          <w:rFonts w:cstheme="minorHAnsi"/>
          <w:color w:val="272727"/>
          <w:sz w:val="24"/>
          <w:szCs w:val="24"/>
          <w:shd w:val="clear" w:color="auto" w:fill="FFFFFF"/>
        </w:rPr>
        <w:t>, </w:t>
      </w:r>
      <w:proofErr w:type="spellStart"/>
      <w:r w:rsidR="00D62642" w:rsidRPr="000E4BB8">
        <w:rPr>
          <w:rFonts w:cstheme="minorHAnsi"/>
          <w:b/>
          <w:bCs/>
          <w:color w:val="272727"/>
          <w:sz w:val="24"/>
          <w:szCs w:val="24"/>
          <w:shd w:val="clear" w:color="auto" w:fill="FFFFFF"/>
        </w:rPr>
        <w:t>capofiliera</w:t>
      </w:r>
      <w:proofErr w:type="spellEnd"/>
      <w:r w:rsidR="00D62642" w:rsidRPr="000E4BB8">
        <w:rPr>
          <w:rFonts w:cstheme="minorHAnsi"/>
          <w:b/>
          <w:bCs/>
          <w:color w:val="272727"/>
          <w:sz w:val="24"/>
          <w:szCs w:val="24"/>
          <w:shd w:val="clear" w:color="auto" w:fill="FFFFFF"/>
        </w:rPr>
        <w:t> della Business Unit “Mercato”</w:t>
      </w:r>
      <w:r w:rsidR="00D62642" w:rsidRPr="000E4BB8">
        <w:rPr>
          <w:rFonts w:cstheme="minorHAnsi"/>
          <w:color w:val="272727"/>
          <w:sz w:val="24"/>
          <w:szCs w:val="24"/>
          <w:shd w:val="clear" w:color="auto" w:fill="FFFFFF"/>
        </w:rPr>
        <w:t>, è la società del gruppo Iren che opera nel settore di commercializzazione di energia elettrica, gas e teleriscaldamento.</w:t>
      </w:r>
    </w:p>
    <w:p w14:paraId="02F3D068" w14:textId="77777777" w:rsidR="00C10CEE" w:rsidRPr="000E4BB8" w:rsidRDefault="00C10CEE" w:rsidP="00165323">
      <w:pPr>
        <w:rPr>
          <w:rFonts w:cstheme="minorHAnsi"/>
          <w:sz w:val="24"/>
          <w:szCs w:val="24"/>
        </w:rPr>
      </w:pPr>
    </w:p>
    <w:p w14:paraId="650702E7" w14:textId="1C6C5489" w:rsidR="00D62642" w:rsidRPr="000E4BB8" w:rsidRDefault="00000000" w:rsidP="00165323">
      <w:pPr>
        <w:rPr>
          <w:rFonts w:cstheme="minorHAnsi"/>
          <w:color w:val="272727"/>
          <w:sz w:val="24"/>
          <w:szCs w:val="24"/>
          <w:shd w:val="clear" w:color="auto" w:fill="FFFFFF"/>
        </w:rPr>
      </w:pPr>
      <w:hyperlink r:id="rId41" w:tgtFrame="_blank" w:tooltip="vai alla pagina dedicata" w:history="1">
        <w:r w:rsidR="00D62642" w:rsidRPr="000E4BB8">
          <w:rPr>
            <w:rStyle w:val="Collegamentoipertestuale"/>
            <w:rFonts w:cstheme="minorHAnsi"/>
            <w:b/>
            <w:bCs/>
            <w:color w:val="000000"/>
            <w:sz w:val="24"/>
            <w:szCs w:val="24"/>
            <w:shd w:val="clear" w:color="auto" w:fill="FFFFFF"/>
          </w:rPr>
          <w:t>Iren Ambiente</w:t>
        </w:r>
      </w:hyperlink>
      <w:r w:rsidR="00D62642" w:rsidRPr="000E4BB8">
        <w:rPr>
          <w:rFonts w:cstheme="minorHAnsi"/>
          <w:color w:val="272727"/>
          <w:sz w:val="24"/>
          <w:szCs w:val="24"/>
          <w:shd w:val="clear" w:color="auto" w:fill="FFFFFF"/>
        </w:rPr>
        <w:t>, </w:t>
      </w:r>
      <w:proofErr w:type="spellStart"/>
      <w:r w:rsidR="00D62642" w:rsidRPr="000E4BB8">
        <w:rPr>
          <w:rFonts w:cstheme="minorHAnsi"/>
          <w:b/>
          <w:bCs/>
          <w:color w:val="272727"/>
          <w:sz w:val="24"/>
          <w:szCs w:val="24"/>
          <w:shd w:val="clear" w:color="auto" w:fill="FFFFFF"/>
        </w:rPr>
        <w:t>capofiliera</w:t>
      </w:r>
      <w:proofErr w:type="spellEnd"/>
      <w:r w:rsidR="00D62642" w:rsidRPr="000E4BB8">
        <w:rPr>
          <w:rFonts w:cstheme="minorHAnsi"/>
          <w:b/>
          <w:bCs/>
          <w:color w:val="272727"/>
          <w:sz w:val="24"/>
          <w:szCs w:val="24"/>
          <w:shd w:val="clear" w:color="auto" w:fill="FFFFFF"/>
        </w:rPr>
        <w:t> Business Unit “Ambiente”</w:t>
      </w:r>
      <w:r w:rsidR="00D62642" w:rsidRPr="000E4BB8">
        <w:rPr>
          <w:rFonts w:cstheme="minorHAnsi"/>
          <w:color w:val="272727"/>
          <w:sz w:val="24"/>
          <w:szCs w:val="24"/>
          <w:shd w:val="clear" w:color="auto" w:fill="FFFFFF"/>
        </w:rPr>
        <w:t>,</w:t>
      </w:r>
      <w:r w:rsidR="00D62642" w:rsidRPr="000E4BB8">
        <w:rPr>
          <w:rFonts w:cstheme="minorHAnsi"/>
          <w:b/>
          <w:bCs/>
          <w:color w:val="272727"/>
          <w:sz w:val="24"/>
          <w:szCs w:val="24"/>
          <w:shd w:val="clear" w:color="auto" w:fill="FFFFFF"/>
        </w:rPr>
        <w:t> </w:t>
      </w:r>
      <w:r w:rsidR="00D62642" w:rsidRPr="000E4BB8">
        <w:rPr>
          <w:rFonts w:cstheme="minorHAnsi"/>
          <w:color w:val="272727"/>
          <w:sz w:val="24"/>
          <w:szCs w:val="24"/>
          <w:shd w:val="clear" w:color="auto" w:fill="FFFFFF"/>
        </w:rPr>
        <w:t>è la società del Gruppo Iren che, sul territorio piemontese ed emiliano, svolge il coordinamento e la gestione dell'igiene urbana, del ciclo integrato dei rifiuti e del settore delle energie rinnovabili.</w:t>
      </w:r>
    </w:p>
    <w:p w14:paraId="2B64F14E" w14:textId="77777777" w:rsidR="00C10CEE" w:rsidRPr="000E4BB8" w:rsidRDefault="00C10CEE" w:rsidP="00165323">
      <w:pPr>
        <w:rPr>
          <w:rFonts w:cstheme="minorHAnsi"/>
          <w:sz w:val="24"/>
          <w:szCs w:val="24"/>
        </w:rPr>
      </w:pPr>
    </w:p>
    <w:p w14:paraId="5C5D4CFD" w14:textId="5E8EE7F1" w:rsidR="00D62642" w:rsidRPr="000E4BB8" w:rsidRDefault="00000000" w:rsidP="00165323">
      <w:pPr>
        <w:rPr>
          <w:rFonts w:cstheme="minorHAnsi"/>
          <w:color w:val="272727"/>
          <w:sz w:val="24"/>
          <w:szCs w:val="24"/>
          <w:shd w:val="clear" w:color="auto" w:fill="FFFFFF"/>
        </w:rPr>
      </w:pPr>
      <w:hyperlink r:id="rId42" w:tgtFrame="_blank" w:tooltip="vai al sito dedicato" w:history="1">
        <w:r w:rsidR="00D62642" w:rsidRPr="000E4BB8">
          <w:rPr>
            <w:rStyle w:val="Collegamentoipertestuale"/>
            <w:rFonts w:cstheme="minorHAnsi"/>
            <w:b/>
            <w:bCs/>
            <w:color w:val="000000"/>
            <w:sz w:val="24"/>
            <w:szCs w:val="24"/>
            <w:shd w:val="clear" w:color="auto" w:fill="FFFFFF"/>
          </w:rPr>
          <w:t>IRETI</w:t>
        </w:r>
      </w:hyperlink>
      <w:r w:rsidR="00D62642" w:rsidRPr="000E4BB8">
        <w:rPr>
          <w:rFonts w:cstheme="minorHAnsi"/>
          <w:color w:val="272727"/>
          <w:sz w:val="24"/>
          <w:szCs w:val="24"/>
          <w:shd w:val="clear" w:color="auto" w:fill="FFFFFF"/>
        </w:rPr>
        <w:t>, </w:t>
      </w:r>
      <w:proofErr w:type="spellStart"/>
      <w:r w:rsidR="00D62642" w:rsidRPr="000E4BB8">
        <w:rPr>
          <w:rFonts w:cstheme="minorHAnsi"/>
          <w:b/>
          <w:bCs/>
          <w:color w:val="272727"/>
          <w:sz w:val="24"/>
          <w:szCs w:val="24"/>
          <w:shd w:val="clear" w:color="auto" w:fill="FFFFFF"/>
        </w:rPr>
        <w:t>capofiliera</w:t>
      </w:r>
      <w:proofErr w:type="spellEnd"/>
      <w:r w:rsidR="00D62642" w:rsidRPr="000E4BB8">
        <w:rPr>
          <w:rFonts w:cstheme="minorHAnsi"/>
          <w:b/>
          <w:bCs/>
          <w:color w:val="272727"/>
          <w:sz w:val="24"/>
          <w:szCs w:val="24"/>
          <w:shd w:val="clear" w:color="auto" w:fill="FFFFFF"/>
        </w:rPr>
        <w:t> della Business Unit “Reti”</w:t>
      </w:r>
      <w:r w:rsidR="00D62642" w:rsidRPr="000E4BB8">
        <w:rPr>
          <w:rFonts w:cstheme="minorHAnsi"/>
          <w:color w:val="272727"/>
          <w:sz w:val="24"/>
          <w:szCs w:val="24"/>
          <w:shd w:val="clear" w:color="auto" w:fill="FFFFFF"/>
        </w:rPr>
        <w:t>, è la società del Gruppo Iren che gestisce in modo integrato e capillare sul territorio nazionale la distribuzione di energia elettrica, gas e acqua.</w:t>
      </w:r>
    </w:p>
    <w:p w14:paraId="283298EB" w14:textId="77777777" w:rsidR="005960CA" w:rsidRDefault="005960CA" w:rsidP="00165323">
      <w:pPr>
        <w:rPr>
          <w:rFonts w:ascii="Arial" w:hAnsi="Arial" w:cs="Arial"/>
          <w:color w:val="272727"/>
          <w:shd w:val="clear" w:color="auto" w:fill="FFFFFF"/>
        </w:rPr>
      </w:pPr>
    </w:p>
    <w:p w14:paraId="11B5F0C5" w14:textId="2629A893" w:rsidR="005960CA" w:rsidRPr="000E4BB8" w:rsidRDefault="005960CA" w:rsidP="00165323">
      <w:pPr>
        <w:rPr>
          <w:rFonts w:ascii="Arial" w:hAnsi="Arial" w:cs="Arial"/>
          <w:b/>
          <w:bCs/>
          <w:color w:val="272727"/>
          <w:sz w:val="24"/>
          <w:szCs w:val="24"/>
          <w:u w:val="single"/>
          <w:shd w:val="clear" w:color="auto" w:fill="FFFFFF"/>
        </w:rPr>
      </w:pPr>
      <w:r w:rsidRPr="000E4BB8">
        <w:rPr>
          <w:rFonts w:ascii="Arial" w:hAnsi="Arial" w:cs="Arial"/>
          <w:b/>
          <w:bCs/>
          <w:color w:val="272727"/>
          <w:sz w:val="24"/>
          <w:szCs w:val="24"/>
          <w:u w:val="single"/>
          <w:shd w:val="clear" w:color="auto" w:fill="FFFFFF"/>
        </w:rPr>
        <w:t>MISSION</w:t>
      </w:r>
    </w:p>
    <w:p w14:paraId="7576B666" w14:textId="0BE260A7" w:rsidR="003669B1" w:rsidRPr="00F04ECD" w:rsidRDefault="005960CA" w:rsidP="00F04ECD">
      <w:pPr>
        <w:spacing w:line="276" w:lineRule="auto"/>
        <w:rPr>
          <w:rFonts w:cstheme="minorHAnsi"/>
          <w:color w:val="272727"/>
          <w:sz w:val="24"/>
          <w:szCs w:val="24"/>
          <w:shd w:val="clear" w:color="auto" w:fill="FFFFFF"/>
        </w:rPr>
      </w:pPr>
      <w:r w:rsidRPr="00F04ECD">
        <w:rPr>
          <w:rFonts w:cstheme="minorHAnsi"/>
          <w:color w:val="272727"/>
          <w:sz w:val="24"/>
          <w:szCs w:val="24"/>
          <w:shd w:val="clear" w:color="auto" w:fill="FFFFFF"/>
        </w:rPr>
        <w:t>Offrire ai nostri clienti e ai nostri territori la migliore gestione integrata delle risorse energetiche, idriche e ambientali, con soluzioni innovative e sostenibili, per generare valore nel tempo. Una vita più sostenibile, in città più intelligenti, per un Pianeta più pulito.</w:t>
      </w:r>
    </w:p>
    <w:p w14:paraId="15A543DC" w14:textId="54754C3E" w:rsidR="005960CA" w:rsidRPr="000E4BB8" w:rsidRDefault="005960CA" w:rsidP="00165323">
      <w:pPr>
        <w:rPr>
          <w:rFonts w:ascii="Arial" w:hAnsi="Arial" w:cs="Arial"/>
          <w:b/>
          <w:bCs/>
          <w:color w:val="272727"/>
          <w:sz w:val="24"/>
          <w:szCs w:val="24"/>
          <w:u w:val="single"/>
          <w:shd w:val="clear" w:color="auto" w:fill="FFFFFF"/>
        </w:rPr>
      </w:pPr>
      <w:r w:rsidRPr="000E4BB8">
        <w:rPr>
          <w:rFonts w:ascii="Arial" w:hAnsi="Arial" w:cs="Arial"/>
          <w:b/>
          <w:bCs/>
          <w:color w:val="272727"/>
          <w:sz w:val="24"/>
          <w:szCs w:val="24"/>
          <w:u w:val="single"/>
          <w:shd w:val="clear" w:color="auto" w:fill="FFFFFF"/>
        </w:rPr>
        <w:t>VISION</w:t>
      </w:r>
    </w:p>
    <w:p w14:paraId="58E07F63" w14:textId="15BC6776" w:rsidR="005960CA" w:rsidRPr="00F04ECD" w:rsidRDefault="005960CA" w:rsidP="00F04ECD">
      <w:pPr>
        <w:spacing w:line="276" w:lineRule="auto"/>
        <w:rPr>
          <w:rFonts w:cstheme="minorHAnsi"/>
          <w:color w:val="272727"/>
          <w:sz w:val="24"/>
          <w:szCs w:val="24"/>
          <w:shd w:val="clear" w:color="auto" w:fill="FFFFFF"/>
        </w:rPr>
      </w:pPr>
      <w:r w:rsidRPr="00F04ECD">
        <w:rPr>
          <w:rFonts w:cstheme="minorHAnsi"/>
          <w:color w:val="272727"/>
          <w:sz w:val="24"/>
          <w:szCs w:val="24"/>
          <w:shd w:val="clear" w:color="auto" w:fill="FFFFFF"/>
        </w:rPr>
        <w:t>Migliorare la qualità della vita delle persone. Rendere più competitive le imprese. Guardare alla crescita dei territori con gli occhi del cambiamento. Fondere sviluppo e sostenibilità in un valore unico. Attraverso scelte innovative, vogliamo realizzare questo futuro.</w:t>
      </w:r>
    </w:p>
    <w:p w14:paraId="605DF57F" w14:textId="1B18CE6C" w:rsidR="00BE125A" w:rsidRDefault="00CA14D5" w:rsidP="00BE125A">
      <w:pPr>
        <w:shd w:val="clear" w:color="auto" w:fill="FFFFFF"/>
        <w:spacing w:after="0" w:line="360" w:lineRule="atLeast"/>
        <w:rPr>
          <w:rFonts w:ascii="Arial" w:eastAsia="Times New Roman" w:hAnsi="Arial" w:cs="Arial"/>
          <w:b/>
          <w:bCs/>
          <w:color w:val="272727"/>
          <w:kern w:val="0"/>
          <w:sz w:val="24"/>
          <w:szCs w:val="24"/>
          <w:u w:val="single"/>
          <w:lang w:eastAsia="it-IT"/>
          <w14:ligatures w14:val="none"/>
        </w:rPr>
      </w:pPr>
      <w:r w:rsidRPr="00CA14D5">
        <w:rPr>
          <w:rFonts w:ascii="Arial" w:eastAsia="Times New Roman" w:hAnsi="Arial" w:cs="Arial"/>
          <w:b/>
          <w:bCs/>
          <w:color w:val="272727"/>
          <w:kern w:val="0"/>
          <w:sz w:val="24"/>
          <w:szCs w:val="24"/>
          <w:u w:val="single"/>
          <w:lang w:eastAsia="it-IT"/>
          <w14:ligatures w14:val="none"/>
        </w:rPr>
        <w:t>OBIETTIVI</w:t>
      </w:r>
    </w:p>
    <w:p w14:paraId="66185CF7" w14:textId="77777777" w:rsidR="00BF4D30" w:rsidRPr="00CA14D5" w:rsidRDefault="00BF4D30" w:rsidP="00BE125A">
      <w:pPr>
        <w:shd w:val="clear" w:color="auto" w:fill="FFFFFF"/>
        <w:spacing w:after="0" w:line="360" w:lineRule="atLeast"/>
        <w:rPr>
          <w:rFonts w:ascii="Arial" w:eastAsia="Times New Roman" w:hAnsi="Arial" w:cs="Arial"/>
          <w:b/>
          <w:bCs/>
          <w:color w:val="272727"/>
          <w:kern w:val="0"/>
          <w:sz w:val="24"/>
          <w:szCs w:val="24"/>
          <w:u w:val="single"/>
          <w:lang w:eastAsia="it-IT"/>
          <w14:ligatures w14:val="none"/>
        </w:rPr>
      </w:pPr>
    </w:p>
    <w:p w14:paraId="0F9FFBDB" w14:textId="0C65D96A" w:rsidR="00BE125A" w:rsidRPr="00812D76" w:rsidRDefault="00BE125A" w:rsidP="00BF4D30">
      <w:pPr>
        <w:numPr>
          <w:ilvl w:val="0"/>
          <w:numId w:val="37"/>
        </w:numPr>
        <w:shd w:val="clear" w:color="auto" w:fill="FFFFFF"/>
        <w:spacing w:after="0" w:line="360" w:lineRule="atLeast"/>
        <w:ind w:left="709" w:hanging="709"/>
        <w:rPr>
          <w:rFonts w:eastAsia="Times New Roman" w:cstheme="minorHAnsi"/>
          <w:color w:val="272727"/>
          <w:kern w:val="0"/>
          <w:sz w:val="24"/>
          <w:szCs w:val="24"/>
          <w:lang w:eastAsia="it-IT"/>
          <w14:ligatures w14:val="none"/>
        </w:rPr>
      </w:pPr>
      <w:r w:rsidRPr="00812D76">
        <w:rPr>
          <w:rFonts w:eastAsia="Times New Roman" w:cstheme="minorHAnsi"/>
          <w:b/>
          <w:bCs/>
          <w:color w:val="272727"/>
          <w:kern w:val="0"/>
          <w:sz w:val="24"/>
          <w:szCs w:val="24"/>
          <w:lang w:eastAsia="it-IT"/>
          <w14:ligatures w14:val="none"/>
        </w:rPr>
        <w:t>produrre energia elettrica</w:t>
      </w:r>
      <w:r w:rsidRPr="00812D76">
        <w:rPr>
          <w:rFonts w:eastAsia="Times New Roman" w:cstheme="minorHAnsi"/>
          <w:color w:val="272727"/>
          <w:kern w:val="0"/>
          <w:sz w:val="24"/>
          <w:szCs w:val="24"/>
          <w:lang w:eastAsia="it-IT"/>
          <w14:ligatures w14:val="none"/>
        </w:rPr>
        <w:t> prevalentemente da fonti non convenzionali: </w:t>
      </w:r>
      <w:r w:rsidR="00BF4D30" w:rsidRPr="00812D76">
        <w:rPr>
          <w:rFonts w:eastAsia="Times New Roman" w:cstheme="minorHAnsi"/>
          <w:color w:val="272727"/>
          <w:kern w:val="0"/>
          <w:sz w:val="24"/>
          <w:szCs w:val="24"/>
          <w:lang w:eastAsia="it-IT"/>
          <w14:ligatures w14:val="none"/>
        </w:rPr>
        <w:t>impianti idroelettrici</w:t>
      </w:r>
      <w:r w:rsidRPr="00812D76">
        <w:rPr>
          <w:rFonts w:eastAsia="Times New Roman" w:cstheme="minorHAnsi"/>
          <w:color w:val="272727"/>
          <w:kern w:val="0"/>
          <w:sz w:val="24"/>
          <w:szCs w:val="24"/>
          <w:lang w:eastAsia="it-IT"/>
          <w14:ligatures w14:val="none"/>
        </w:rPr>
        <w:t>, fotovoltaici e cogenerativi, termovalorizzatori.</w:t>
      </w:r>
      <w:r w:rsidRPr="00812D76">
        <w:rPr>
          <w:rFonts w:eastAsia="Times New Roman" w:cstheme="minorHAnsi"/>
          <w:color w:val="272727"/>
          <w:kern w:val="0"/>
          <w:sz w:val="24"/>
          <w:szCs w:val="24"/>
          <w:lang w:eastAsia="it-IT"/>
          <w14:ligatures w14:val="none"/>
        </w:rPr>
        <w:br/>
        <w:t> </w:t>
      </w:r>
    </w:p>
    <w:p w14:paraId="078DB78F" w14:textId="77777777" w:rsidR="00BE125A" w:rsidRPr="00812D76" w:rsidRDefault="00BE125A" w:rsidP="00BF4D30">
      <w:pPr>
        <w:numPr>
          <w:ilvl w:val="0"/>
          <w:numId w:val="38"/>
        </w:numPr>
        <w:shd w:val="clear" w:color="auto" w:fill="FFFFFF"/>
        <w:spacing w:after="0" w:line="360" w:lineRule="atLeast"/>
        <w:ind w:left="709" w:hanging="709"/>
        <w:rPr>
          <w:rFonts w:eastAsia="Times New Roman" w:cstheme="minorHAnsi"/>
          <w:color w:val="272727"/>
          <w:kern w:val="0"/>
          <w:sz w:val="24"/>
          <w:szCs w:val="24"/>
          <w:lang w:eastAsia="it-IT"/>
          <w14:ligatures w14:val="none"/>
        </w:rPr>
      </w:pPr>
      <w:r w:rsidRPr="00812D76">
        <w:rPr>
          <w:rFonts w:eastAsia="Times New Roman" w:cstheme="minorHAnsi"/>
          <w:b/>
          <w:bCs/>
          <w:color w:val="272727"/>
          <w:kern w:val="0"/>
          <w:sz w:val="24"/>
          <w:szCs w:val="24"/>
          <w:lang w:eastAsia="it-IT"/>
          <w14:ligatures w14:val="none"/>
        </w:rPr>
        <w:t>ridurre le emissioni </w:t>
      </w:r>
      <w:r w:rsidRPr="00812D76">
        <w:rPr>
          <w:rFonts w:eastAsia="Times New Roman" w:cstheme="minorHAnsi"/>
          <w:color w:val="272727"/>
          <w:kern w:val="0"/>
          <w:sz w:val="24"/>
          <w:szCs w:val="24"/>
          <w:lang w:eastAsia="it-IT"/>
          <w14:ligatures w14:val="none"/>
        </w:rPr>
        <w:t>da teleriscaldamento attraverso impianti di cogenerazione e di termovalorizzazione.</w:t>
      </w:r>
      <w:r w:rsidRPr="00812D76">
        <w:rPr>
          <w:rFonts w:eastAsia="Times New Roman" w:cstheme="minorHAnsi"/>
          <w:color w:val="272727"/>
          <w:kern w:val="0"/>
          <w:sz w:val="24"/>
          <w:szCs w:val="24"/>
          <w:lang w:eastAsia="it-IT"/>
          <w14:ligatures w14:val="none"/>
        </w:rPr>
        <w:br/>
        <w:t> </w:t>
      </w:r>
    </w:p>
    <w:p w14:paraId="62C7A8DC" w14:textId="77777777" w:rsidR="00BE125A" w:rsidRPr="00812D76" w:rsidRDefault="00BE125A" w:rsidP="00BF4D30">
      <w:pPr>
        <w:numPr>
          <w:ilvl w:val="0"/>
          <w:numId w:val="39"/>
        </w:numPr>
        <w:shd w:val="clear" w:color="auto" w:fill="FFFFFF"/>
        <w:spacing w:after="0" w:line="360" w:lineRule="atLeast"/>
        <w:ind w:left="709" w:hanging="709"/>
        <w:rPr>
          <w:rFonts w:eastAsia="Times New Roman" w:cstheme="minorHAnsi"/>
          <w:color w:val="272727"/>
          <w:kern w:val="0"/>
          <w:sz w:val="24"/>
          <w:szCs w:val="24"/>
          <w:lang w:eastAsia="it-IT"/>
          <w14:ligatures w14:val="none"/>
        </w:rPr>
      </w:pPr>
      <w:r w:rsidRPr="00812D76">
        <w:rPr>
          <w:rFonts w:eastAsia="Times New Roman" w:cstheme="minorHAnsi"/>
          <w:b/>
          <w:bCs/>
          <w:color w:val="272727"/>
          <w:kern w:val="0"/>
          <w:sz w:val="24"/>
          <w:szCs w:val="24"/>
          <w:lang w:eastAsia="it-IT"/>
          <w14:ligatures w14:val="none"/>
        </w:rPr>
        <w:t>perseguire il risparmio idrico ed energetico</w:t>
      </w:r>
      <w:r w:rsidRPr="00812D76">
        <w:rPr>
          <w:rFonts w:eastAsia="Times New Roman" w:cstheme="minorHAnsi"/>
          <w:color w:val="272727"/>
          <w:kern w:val="0"/>
          <w:sz w:val="24"/>
          <w:szCs w:val="24"/>
          <w:lang w:eastAsia="it-IT"/>
          <w14:ligatures w14:val="none"/>
        </w:rPr>
        <w:t> anche promuovendo pratiche e comportamenti di consumo sostenibile presso i clienti.</w:t>
      </w:r>
      <w:r w:rsidRPr="00812D76">
        <w:rPr>
          <w:rFonts w:eastAsia="Times New Roman" w:cstheme="minorHAnsi"/>
          <w:color w:val="272727"/>
          <w:kern w:val="0"/>
          <w:sz w:val="24"/>
          <w:szCs w:val="24"/>
          <w:lang w:eastAsia="it-IT"/>
          <w14:ligatures w14:val="none"/>
        </w:rPr>
        <w:br/>
        <w:t> </w:t>
      </w:r>
    </w:p>
    <w:p w14:paraId="20A5FDCE" w14:textId="77777777" w:rsidR="00BE125A" w:rsidRPr="00812D76" w:rsidRDefault="00BE125A" w:rsidP="00BF4D30">
      <w:pPr>
        <w:numPr>
          <w:ilvl w:val="0"/>
          <w:numId w:val="40"/>
        </w:numPr>
        <w:shd w:val="clear" w:color="auto" w:fill="FFFFFF"/>
        <w:spacing w:after="0" w:line="360" w:lineRule="atLeast"/>
        <w:ind w:left="709" w:hanging="709"/>
        <w:rPr>
          <w:rFonts w:eastAsia="Times New Roman" w:cstheme="minorHAnsi"/>
          <w:color w:val="272727"/>
          <w:kern w:val="0"/>
          <w:sz w:val="24"/>
          <w:szCs w:val="24"/>
          <w:lang w:eastAsia="it-IT"/>
          <w14:ligatures w14:val="none"/>
        </w:rPr>
      </w:pPr>
      <w:r w:rsidRPr="00812D76">
        <w:rPr>
          <w:rFonts w:eastAsia="Times New Roman" w:cstheme="minorHAnsi"/>
          <w:b/>
          <w:bCs/>
          <w:color w:val="272727"/>
          <w:kern w:val="0"/>
          <w:sz w:val="24"/>
          <w:szCs w:val="24"/>
          <w:lang w:eastAsia="it-IT"/>
          <w14:ligatures w14:val="none"/>
        </w:rPr>
        <w:t>assicurare una gestione razionale e sostenibile </w:t>
      </w:r>
      <w:r w:rsidRPr="00812D76">
        <w:rPr>
          <w:rFonts w:eastAsia="Times New Roman" w:cstheme="minorHAnsi"/>
          <w:color w:val="272727"/>
          <w:kern w:val="0"/>
          <w:sz w:val="24"/>
          <w:szCs w:val="24"/>
          <w:lang w:eastAsia="it-IT"/>
          <w14:ligatures w14:val="none"/>
        </w:rPr>
        <w:t>della risorsa idrica effettuando interventi volti a ridurre le perdite nelle reti di distribuzione dell’acqua potabile, realizzando investimenti in infrastrutture fognarie e di depurazione.</w:t>
      </w:r>
      <w:r w:rsidRPr="00812D76">
        <w:rPr>
          <w:rFonts w:eastAsia="Times New Roman" w:cstheme="minorHAnsi"/>
          <w:color w:val="272727"/>
          <w:kern w:val="0"/>
          <w:sz w:val="24"/>
          <w:szCs w:val="24"/>
          <w:lang w:eastAsia="it-IT"/>
          <w14:ligatures w14:val="none"/>
        </w:rPr>
        <w:br/>
        <w:t> </w:t>
      </w:r>
    </w:p>
    <w:p w14:paraId="1B06814F" w14:textId="77777777" w:rsidR="00BE125A" w:rsidRDefault="00BE125A" w:rsidP="00BF4D30">
      <w:pPr>
        <w:numPr>
          <w:ilvl w:val="0"/>
          <w:numId w:val="41"/>
        </w:numPr>
        <w:shd w:val="clear" w:color="auto" w:fill="FFFFFF"/>
        <w:spacing w:after="0" w:line="360" w:lineRule="atLeast"/>
        <w:ind w:left="709" w:hanging="709"/>
        <w:rPr>
          <w:rFonts w:eastAsia="Times New Roman" w:cstheme="minorHAnsi"/>
          <w:color w:val="272727"/>
          <w:kern w:val="0"/>
          <w:sz w:val="24"/>
          <w:szCs w:val="24"/>
          <w:lang w:eastAsia="it-IT"/>
          <w14:ligatures w14:val="none"/>
        </w:rPr>
      </w:pPr>
      <w:r w:rsidRPr="00812D76">
        <w:rPr>
          <w:rFonts w:eastAsia="Times New Roman" w:cstheme="minorHAnsi"/>
          <w:b/>
          <w:bCs/>
          <w:color w:val="272727"/>
          <w:kern w:val="0"/>
          <w:sz w:val="24"/>
          <w:szCs w:val="24"/>
          <w:lang w:eastAsia="it-IT"/>
          <w14:ligatures w14:val="none"/>
        </w:rPr>
        <w:t>adottare sistemi integrati di gestione dei rifiuti</w:t>
      </w:r>
      <w:r w:rsidRPr="00812D76">
        <w:rPr>
          <w:rFonts w:eastAsia="Times New Roman" w:cstheme="minorHAnsi"/>
          <w:color w:val="272727"/>
          <w:kern w:val="0"/>
          <w:sz w:val="24"/>
          <w:szCs w:val="24"/>
          <w:lang w:eastAsia="it-IT"/>
          <w14:ligatures w14:val="none"/>
        </w:rPr>
        <w:t> che permettano di intercettare un’elevata quantità di materiale per il riciclo e di avviare a smaltimento, con conseguente recupero energetico, solo i materiali non utilmente riciclabili.</w:t>
      </w:r>
    </w:p>
    <w:p w14:paraId="4A013784"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5A9165DA"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0DA10B54"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04051037"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601050C8"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7E3462BC"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7603FAA9"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441972AD"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07BA4DA4" w14:textId="77777777" w:rsidR="00B65E4A" w:rsidRDefault="00B65E4A" w:rsidP="00B65E4A">
      <w:pPr>
        <w:shd w:val="clear" w:color="auto" w:fill="FFFFFF"/>
        <w:spacing w:after="0" w:line="360" w:lineRule="atLeast"/>
        <w:rPr>
          <w:rFonts w:eastAsia="Times New Roman" w:cstheme="minorHAnsi"/>
          <w:color w:val="272727"/>
          <w:kern w:val="0"/>
          <w:sz w:val="24"/>
          <w:szCs w:val="24"/>
          <w:lang w:eastAsia="it-IT"/>
          <w14:ligatures w14:val="none"/>
        </w:rPr>
      </w:pPr>
    </w:p>
    <w:p w14:paraId="0F238C2F" w14:textId="0125776B" w:rsidR="00B65E4A" w:rsidRPr="008120D8" w:rsidRDefault="00D307A6" w:rsidP="00B65E4A">
      <w:pPr>
        <w:shd w:val="clear" w:color="auto" w:fill="FFFFFF"/>
        <w:spacing w:after="0" w:line="360" w:lineRule="atLeast"/>
        <w:rPr>
          <w:rFonts w:ascii="Arial" w:eastAsia="Times New Roman" w:hAnsi="Arial" w:cs="Arial"/>
          <w:b/>
          <w:bCs/>
          <w:color w:val="272727"/>
          <w:kern w:val="0"/>
          <w:sz w:val="24"/>
          <w:szCs w:val="24"/>
          <w:u w:val="single"/>
          <w:lang w:eastAsia="it-IT"/>
          <w14:ligatures w14:val="none"/>
        </w:rPr>
      </w:pPr>
      <w:r w:rsidRPr="008120D8">
        <w:rPr>
          <w:rFonts w:ascii="Arial" w:eastAsia="Times New Roman" w:hAnsi="Arial" w:cs="Arial"/>
          <w:b/>
          <w:bCs/>
          <w:color w:val="272727"/>
          <w:kern w:val="0"/>
          <w:sz w:val="24"/>
          <w:szCs w:val="24"/>
          <w:u w:val="single"/>
          <w:lang w:eastAsia="it-IT"/>
          <w14:ligatures w14:val="none"/>
        </w:rPr>
        <w:t xml:space="preserve">Approfondimento con l’Investor Relator </w:t>
      </w:r>
      <w:r w:rsidR="001A3EDD">
        <w:rPr>
          <w:rFonts w:ascii="Arial" w:eastAsia="Times New Roman" w:hAnsi="Arial" w:cs="Arial"/>
          <w:b/>
          <w:bCs/>
          <w:color w:val="272727"/>
          <w:kern w:val="0"/>
          <w:sz w:val="24"/>
          <w:szCs w:val="24"/>
          <w:u w:val="single"/>
          <w:lang w:eastAsia="it-IT"/>
          <w14:ligatures w14:val="none"/>
        </w:rPr>
        <w:t xml:space="preserve">di Iren S.p.A. </w:t>
      </w:r>
      <w:r w:rsidRPr="008120D8">
        <w:rPr>
          <w:rFonts w:ascii="Arial" w:eastAsia="Times New Roman" w:hAnsi="Arial" w:cs="Arial"/>
          <w:b/>
          <w:bCs/>
          <w:color w:val="272727"/>
          <w:kern w:val="0"/>
          <w:sz w:val="24"/>
          <w:szCs w:val="24"/>
          <w:u w:val="single"/>
          <w:lang w:eastAsia="it-IT"/>
          <w14:ligatures w14:val="none"/>
        </w:rPr>
        <w:t>Alex Corradini</w:t>
      </w:r>
      <w:r w:rsidR="008120D8" w:rsidRPr="008120D8">
        <w:rPr>
          <w:rFonts w:ascii="Arial" w:eastAsia="Times New Roman" w:hAnsi="Arial" w:cs="Arial"/>
          <w:b/>
          <w:bCs/>
          <w:color w:val="272727"/>
          <w:kern w:val="0"/>
          <w:sz w:val="24"/>
          <w:szCs w:val="24"/>
          <w:u w:val="single"/>
          <w:lang w:eastAsia="it-IT"/>
          <w14:ligatures w14:val="none"/>
        </w:rPr>
        <w:t xml:space="preserve"> </w:t>
      </w:r>
    </w:p>
    <w:p w14:paraId="50378010" w14:textId="31BDAD9B" w:rsidR="00870365" w:rsidRPr="00BE125A" w:rsidRDefault="00870365" w:rsidP="00870365">
      <w:pPr>
        <w:shd w:val="clear" w:color="auto" w:fill="FFFFFF"/>
        <w:spacing w:after="0" w:line="360" w:lineRule="atLeast"/>
        <w:rPr>
          <w:rFonts w:ascii="Arial" w:eastAsia="Times New Roman" w:hAnsi="Arial" w:cs="Arial"/>
          <w:color w:val="272727"/>
          <w:kern w:val="0"/>
          <w:sz w:val="24"/>
          <w:szCs w:val="24"/>
          <w:lang w:eastAsia="it-IT"/>
          <w14:ligatures w14:val="none"/>
        </w:rPr>
      </w:pPr>
    </w:p>
    <w:p w14:paraId="77243758" w14:textId="54B9E847" w:rsidR="00BE125A" w:rsidRPr="00165323" w:rsidRDefault="00753392" w:rsidP="00165323">
      <w:pPr>
        <w:rPr>
          <w:rFonts w:cstheme="minorHAnsi"/>
          <w:sz w:val="32"/>
          <w:szCs w:val="32"/>
        </w:rPr>
      </w:pPr>
      <w:r>
        <w:rPr>
          <w:rFonts w:cstheme="minorHAnsi"/>
          <w:noProof/>
          <w:sz w:val="32"/>
          <w:szCs w:val="32"/>
          <w:lang w:eastAsia="it-IT"/>
        </w:rPr>
        <w:drawing>
          <wp:anchor distT="0" distB="0" distL="114300" distR="114300" simplePos="0" relativeHeight="251658255" behindDoc="0" locked="0" layoutInCell="1" allowOverlap="1" wp14:anchorId="53AF6147" wp14:editId="12919ADB">
            <wp:simplePos x="0" y="0"/>
            <wp:positionH relativeFrom="margin">
              <wp:align>center</wp:align>
            </wp:positionH>
            <wp:positionV relativeFrom="paragraph">
              <wp:posOffset>376975</wp:posOffset>
            </wp:positionV>
            <wp:extent cx="4572000" cy="3429000"/>
            <wp:effectExtent l="0" t="0" r="0" b="0"/>
            <wp:wrapThrough wrapText="bothSides">
              <wp:wrapPolygon edited="0">
                <wp:start x="0" y="0"/>
                <wp:lineTo x="0" y="21480"/>
                <wp:lineTo x="21510" y="21480"/>
                <wp:lineTo x="21510" y="0"/>
                <wp:lineTo x="0" y="0"/>
              </wp:wrapPolygon>
            </wp:wrapThrough>
            <wp:docPr id="236095944" name="Video 1" descr="Risultato finale intervista">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095944" name="Video 1" descr="Risultato finale intervista">
                      <a:hlinkClick r:id="rId43"/>
                    </pic:cNvPr>
                    <pic:cNvPicPr/>
                  </pic:nvPicPr>
                  <pic:blipFill>
                    <a:blip r:embed="rId44">
                      <a:extLst>
                        <a:ext uri="{28A0092B-C50C-407E-A947-70E740481C1C}">
                          <a14:useLocalDpi xmlns:a14="http://schemas.microsoft.com/office/drawing/2010/main" val="0"/>
                        </a:ext>
                        <a:ext uri="{C809E66F-F1BF-436E-b5F7-EEA9579F0CBA}">
                          <wp15:webVideoPr xmlns:wp15="http://schemas.microsoft.com/office/word/2012/wordprocessingDrawing" embeddedHtml="&lt;iframe width=&quot;200&quot; height=&quot;113&quot; src=&quot;https://www.youtube.com/embed/k-klxTr8Hqk?feature=oembed&quot; frameborder=&quot;0&quot; allow=&quot;accelerometer; autoplay; clipboard-write; encrypted-media; gyroscope; picture-in-picture; web-share&quot; referrerpolicy=&quot;strict-origin-when-cross-origin&quot; allowfullscreen=&quot;&quot; title=&quot;Risultato finale intervista&quot; sandbox=&quot;allow-scripts allow-same-origin allow-popups&quot;&gt;&lt;/iframe&gt;" h="113" w="200"/>
                        </a:ext>
                      </a:extLst>
                    </a:blip>
                    <a:stretch>
                      <a:fillRect/>
                    </a:stretch>
                  </pic:blipFill>
                  <pic:spPr>
                    <a:xfrm>
                      <a:off x="0" y="0"/>
                      <a:ext cx="4572000" cy="3429000"/>
                    </a:xfrm>
                    <a:prstGeom prst="rect">
                      <a:avLst/>
                    </a:prstGeom>
                  </pic:spPr>
                </pic:pic>
              </a:graphicData>
            </a:graphic>
          </wp:anchor>
        </w:drawing>
      </w:r>
    </w:p>
    <w:sectPr w:rsidR="00BE125A" w:rsidRPr="00165323" w:rsidSect="00BB151B">
      <w:headerReference w:type="default" r:id="rId45"/>
      <w:footerReference w:type="default" r:id="rId46"/>
      <w:pgSz w:w="12240" w:h="15840"/>
      <w:pgMar w:top="1417" w:right="1134" w:bottom="1134" w:left="1134"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 w:author="Gabriele Carraglia" w:date="2024-05-15T19:29:00Z" w:initials="GC">
    <w:p w14:paraId="46FA1FCF" w14:textId="65A9E972" w:rsidR="002E4450" w:rsidRDefault="002E4450" w:rsidP="00A52050">
      <w:pPr>
        <w:pStyle w:val="Testocommento"/>
      </w:pPr>
      <w:r>
        <w:rPr>
          <w:rStyle w:val="Rimandocommento"/>
        </w:rPr>
        <w:annotationRef/>
      </w:r>
      <w:r>
        <w:t>Pronuncia DAU</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6FA1FC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9EF8BB3" w16cex:dateUtc="2024-05-15T17: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6FA1FCF" w16cid:durableId="29EF8BB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993980" w14:textId="77777777" w:rsidR="009933F3" w:rsidRDefault="009933F3" w:rsidP="00CF6186">
      <w:pPr>
        <w:spacing w:after="0" w:line="240" w:lineRule="auto"/>
      </w:pPr>
      <w:r>
        <w:separator/>
      </w:r>
    </w:p>
  </w:endnote>
  <w:endnote w:type="continuationSeparator" w:id="0">
    <w:p w14:paraId="6E6E1DCB" w14:textId="77777777" w:rsidR="009933F3" w:rsidRDefault="009933F3" w:rsidP="00CF6186">
      <w:pPr>
        <w:spacing w:after="0" w:line="240" w:lineRule="auto"/>
      </w:pPr>
      <w:r>
        <w:continuationSeparator/>
      </w:r>
    </w:p>
  </w:endnote>
  <w:endnote w:type="continuationNotice" w:id="1">
    <w:p w14:paraId="0B83A4F6" w14:textId="77777777" w:rsidR="009933F3" w:rsidRDefault="009933F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Imprint MT Shadow">
    <w:panose1 w:val="04020605060303030202"/>
    <w:charset w:val="00"/>
    <w:family w:val="decorative"/>
    <w:pitch w:val="variable"/>
    <w:sig w:usb0="00000003" w:usb1="00000000" w:usb2="00000000" w:usb3="00000000" w:csb0="00000001" w:csb1="00000000"/>
  </w:font>
  <w:font w:name="JasmineUPC">
    <w:charset w:val="DE"/>
    <w:family w:val="roman"/>
    <w:pitch w:val="variable"/>
    <w:sig w:usb0="81000003" w:usb1="00000000" w:usb2="00000000" w:usb3="00000000" w:csb0="00010001" w:csb1="00000000"/>
  </w:font>
  <w:font w:name="Yu Gothic">
    <w:altName w:val="游ゴシック"/>
    <w:panose1 w:val="020B0400000000000000"/>
    <w:charset w:val="80"/>
    <w:family w:val="swiss"/>
    <w:pitch w:val="variable"/>
    <w:sig w:usb0="E00002FF" w:usb1="2AC7FDFF" w:usb2="00000016" w:usb3="00000000" w:csb0="0002009F" w:csb1="00000000"/>
  </w:font>
  <w:font w:name="Bodoni MT">
    <w:panose1 w:val="020706030806060202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6645359"/>
      <w:docPartObj>
        <w:docPartGallery w:val="Page Numbers (Bottom of Page)"/>
        <w:docPartUnique/>
      </w:docPartObj>
    </w:sdtPr>
    <w:sdtContent>
      <w:p w14:paraId="24C946D6" w14:textId="6DADF2E6" w:rsidR="00CF6186" w:rsidRDefault="00CF6186">
        <w:pPr>
          <w:pStyle w:val="Pidipagina"/>
          <w:jc w:val="center"/>
        </w:pPr>
        <w:r>
          <w:rPr>
            <w:noProof/>
            <w:lang w:eastAsia="it-IT"/>
          </w:rPr>
          <mc:AlternateContent>
            <mc:Choice Requires="wps">
              <w:drawing>
                <wp:anchor distT="0" distB="0" distL="114300" distR="114300" simplePos="0" relativeHeight="251658240" behindDoc="0" locked="0" layoutInCell="1" allowOverlap="1" wp14:anchorId="1C6BFE0C" wp14:editId="79CCC2DD">
                  <wp:simplePos x="1152525" y="9193530"/>
                  <wp:positionH relativeFrom="margin">
                    <wp:align>center</wp:align>
                  </wp:positionH>
                  <wp:positionV relativeFrom="margin">
                    <wp:align>bottom</wp:align>
                  </wp:positionV>
                  <wp:extent cx="5467350" cy="54610"/>
                  <wp:effectExtent l="38100" t="0" r="0" b="21590"/>
                  <wp:wrapSquare wrapText="bothSides"/>
                  <wp:docPr id="1" name="Decision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7350" cy="54610"/>
                          </a:xfrm>
                          <a:prstGeom prst="flowChartDecision">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w:pict>
                <v:shapetype w14:anchorId="1704C7DD" id="_x0000_t110" coordsize="21600,21600" o:spt="110" path="m10800,l,10800,10800,21600,21600,10800xe">
                  <v:stroke joinstyle="miter"/>
                  <v:path gradientshapeok="t" o:connecttype="rect" textboxrect="5400,5400,16200,16200"/>
                </v:shapetype>
                <v:shape id="Decisione 1" o:spid="_x0000_s1026" type="#_x0000_t110" style="position:absolute;margin-left:0;margin-top:0;width:430.5pt;height:4.3pt;z-index:251658240;visibility:visible;mso-wrap-style:square;mso-wrap-distance-left:9pt;mso-wrap-distance-top:0;mso-wrap-distance-right:9pt;mso-wrap-distance-bottom:0;mso-position-horizontal:center;mso-position-horizontal-relative:margin;mso-position-vertical:bottom;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" fillcolor="black">
                  <w10:wrap type="square" anchorx="margin" anchory="margin"/>
                </v:shape>
              </w:pict>
            </mc:Fallback>
          </mc:AlternateContent>
        </w:r>
      </w:p>
      <w:p w14:paraId="58AF4E7E" w14:textId="375AA904" w:rsidR="00CF6186" w:rsidRDefault="00CF6186">
        <w:pPr>
          <w:pStyle w:val="Pidipagina"/>
          <w:jc w:val="center"/>
        </w:pPr>
        <w:r>
          <w:fldChar w:fldCharType="begin"/>
        </w:r>
        <w:r>
          <w:instrText>PAGE    \* MERGEFORMAT</w:instrText>
        </w:r>
        <w:r>
          <w:fldChar w:fldCharType="separate"/>
        </w:r>
        <w:r w:rsidR="00152232">
          <w:rPr>
            <w:noProof/>
          </w:rPr>
          <w:t>17</w:t>
        </w:r>
        <w:r>
          <w:fldChar w:fldCharType="end"/>
        </w:r>
      </w:p>
    </w:sdtContent>
  </w:sdt>
  <w:p w14:paraId="27365C01" w14:textId="77777777" w:rsidR="00CF6186" w:rsidRDefault="00CF618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639E00" w14:textId="77777777" w:rsidR="009933F3" w:rsidRDefault="009933F3" w:rsidP="00CF6186">
      <w:pPr>
        <w:spacing w:after="0" w:line="240" w:lineRule="auto"/>
      </w:pPr>
      <w:r>
        <w:separator/>
      </w:r>
    </w:p>
  </w:footnote>
  <w:footnote w:type="continuationSeparator" w:id="0">
    <w:p w14:paraId="1C390BD1" w14:textId="77777777" w:rsidR="009933F3" w:rsidRDefault="009933F3" w:rsidP="00CF6186">
      <w:pPr>
        <w:spacing w:after="0" w:line="240" w:lineRule="auto"/>
      </w:pPr>
      <w:r>
        <w:continuationSeparator/>
      </w:r>
    </w:p>
  </w:footnote>
  <w:footnote w:type="continuationNotice" w:id="1">
    <w:p w14:paraId="022D4224" w14:textId="77777777" w:rsidR="009933F3" w:rsidRDefault="009933F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F40452" w14:textId="34B3A0AA" w:rsidR="004C0286" w:rsidRPr="0049140B" w:rsidRDefault="0049140B" w:rsidP="00A67FBB">
    <w:pPr>
      <w:pStyle w:val="Intestazione"/>
      <w:ind w:right="139"/>
      <w:jc w:val="right"/>
      <w:rPr>
        <w:rFonts w:ascii="Bodoni MT" w:hAnsi="Bodoni MT"/>
        <w:sz w:val="24"/>
        <w:szCs w:val="24"/>
        <w:u w:val="wave"/>
      </w:rPr>
    </w:pPr>
    <w:r>
      <w:rPr>
        <w:rFonts w:ascii="Bodoni MT" w:hAnsi="Bodoni MT"/>
        <w:sz w:val="24"/>
        <w:szCs w:val="24"/>
        <w:u w:val="wave"/>
      </w:rPr>
      <w:t>di</w:t>
    </w:r>
    <w:r w:rsidR="004C0286" w:rsidRPr="0049140B">
      <w:rPr>
        <w:rFonts w:ascii="Bodoni MT" w:hAnsi="Bodoni MT"/>
        <w:sz w:val="24"/>
        <w:szCs w:val="24"/>
        <w:u w:val="wave"/>
      </w:rPr>
      <w:t xml:space="preserve"> Gabriele Carraglia e Simone </w:t>
    </w:r>
    <w:proofErr w:type="spellStart"/>
    <w:r w:rsidR="004C0286" w:rsidRPr="0049140B">
      <w:rPr>
        <w:rFonts w:ascii="Bodoni MT" w:hAnsi="Bodoni MT"/>
        <w:sz w:val="24"/>
        <w:szCs w:val="24"/>
        <w:u w:val="wave"/>
      </w:rPr>
      <w:t>Dianini</w:t>
    </w:r>
    <w:proofErr w:type="spellEnd"/>
  </w:p>
  <w:p w14:paraId="5A38AB4A" w14:textId="77777777" w:rsidR="00CF6186" w:rsidRDefault="00CF618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85A4D"/>
    <w:multiLevelType w:val="hybridMultilevel"/>
    <w:tmpl w:val="08F86B72"/>
    <w:lvl w:ilvl="0" w:tplc="04100009">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 w15:restartNumberingAfterBreak="0">
    <w:nsid w:val="079C2B5F"/>
    <w:multiLevelType w:val="multilevel"/>
    <w:tmpl w:val="4DDEB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4B5EC5"/>
    <w:multiLevelType w:val="multilevel"/>
    <w:tmpl w:val="C8BEC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8873A0"/>
    <w:multiLevelType w:val="multilevel"/>
    <w:tmpl w:val="1B26C0AE"/>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15:restartNumberingAfterBreak="0">
    <w:nsid w:val="09AB0348"/>
    <w:multiLevelType w:val="multilevel"/>
    <w:tmpl w:val="01E28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CB5D9C"/>
    <w:multiLevelType w:val="multilevel"/>
    <w:tmpl w:val="762E397A"/>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6" w15:restartNumberingAfterBreak="0">
    <w:nsid w:val="0A4A58A3"/>
    <w:multiLevelType w:val="multilevel"/>
    <w:tmpl w:val="534AB492"/>
    <w:lvl w:ilvl="0">
      <w:start w:val="1"/>
      <w:numFmt w:val="bullet"/>
      <w:lvlText w:val=""/>
      <w:lvlJc w:val="left"/>
      <w:pPr>
        <w:ind w:left="360" w:hanging="360"/>
      </w:pPr>
      <w:rPr>
        <w:rFonts w:ascii="Wingdings" w:hAnsi="Wingdings" w:hint="default"/>
        <w:b/>
        <w:caps w:val="0"/>
        <w:smallCaps w:val="0"/>
        <w:color w:val="66FF66"/>
        <w:spacing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57150" w14:contourW="0" w14:prstMaterial="softEdge">
          <w14:bevelT w14:w="25400" w14:h="38100" w14:prst="circle"/>
        </w14:props3d>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15:restartNumberingAfterBreak="0">
    <w:nsid w:val="0DA808AD"/>
    <w:multiLevelType w:val="hybridMultilevel"/>
    <w:tmpl w:val="1D06CD9A"/>
    <w:lvl w:ilvl="0" w:tplc="0410000D">
      <w:start w:val="1"/>
      <w:numFmt w:val="bullet"/>
      <w:lvlText w:val=""/>
      <w:lvlJc w:val="left"/>
      <w:pPr>
        <w:ind w:left="780" w:hanging="360"/>
      </w:pPr>
      <w:rPr>
        <w:rFonts w:ascii="Wingdings" w:hAnsi="Wingdings"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8" w15:restartNumberingAfterBreak="0">
    <w:nsid w:val="0DF22438"/>
    <w:multiLevelType w:val="hybridMultilevel"/>
    <w:tmpl w:val="5F0CB752"/>
    <w:lvl w:ilvl="0" w:tplc="0410000F">
      <w:start w:val="1"/>
      <w:numFmt w:val="decimal"/>
      <w:lvlText w:val="%1."/>
      <w:lvlJc w:val="left"/>
      <w:pPr>
        <w:ind w:left="1776" w:hanging="360"/>
      </w:pPr>
    </w:lvl>
    <w:lvl w:ilvl="1" w:tplc="04100019" w:tentative="1">
      <w:start w:val="1"/>
      <w:numFmt w:val="lowerLetter"/>
      <w:lvlText w:val="%2."/>
      <w:lvlJc w:val="left"/>
      <w:pPr>
        <w:ind w:left="2496" w:hanging="360"/>
      </w:pPr>
    </w:lvl>
    <w:lvl w:ilvl="2" w:tplc="0410001B" w:tentative="1">
      <w:start w:val="1"/>
      <w:numFmt w:val="lowerRoman"/>
      <w:lvlText w:val="%3."/>
      <w:lvlJc w:val="right"/>
      <w:pPr>
        <w:ind w:left="3216" w:hanging="180"/>
      </w:pPr>
    </w:lvl>
    <w:lvl w:ilvl="3" w:tplc="0410000F" w:tentative="1">
      <w:start w:val="1"/>
      <w:numFmt w:val="decimal"/>
      <w:lvlText w:val="%4."/>
      <w:lvlJc w:val="left"/>
      <w:pPr>
        <w:ind w:left="3936" w:hanging="360"/>
      </w:pPr>
    </w:lvl>
    <w:lvl w:ilvl="4" w:tplc="04100019" w:tentative="1">
      <w:start w:val="1"/>
      <w:numFmt w:val="lowerLetter"/>
      <w:lvlText w:val="%5."/>
      <w:lvlJc w:val="left"/>
      <w:pPr>
        <w:ind w:left="4656" w:hanging="360"/>
      </w:pPr>
    </w:lvl>
    <w:lvl w:ilvl="5" w:tplc="0410001B" w:tentative="1">
      <w:start w:val="1"/>
      <w:numFmt w:val="lowerRoman"/>
      <w:lvlText w:val="%6."/>
      <w:lvlJc w:val="right"/>
      <w:pPr>
        <w:ind w:left="5376" w:hanging="180"/>
      </w:pPr>
    </w:lvl>
    <w:lvl w:ilvl="6" w:tplc="0410000F" w:tentative="1">
      <w:start w:val="1"/>
      <w:numFmt w:val="decimal"/>
      <w:lvlText w:val="%7."/>
      <w:lvlJc w:val="left"/>
      <w:pPr>
        <w:ind w:left="6096" w:hanging="360"/>
      </w:pPr>
    </w:lvl>
    <w:lvl w:ilvl="7" w:tplc="04100019" w:tentative="1">
      <w:start w:val="1"/>
      <w:numFmt w:val="lowerLetter"/>
      <w:lvlText w:val="%8."/>
      <w:lvlJc w:val="left"/>
      <w:pPr>
        <w:ind w:left="6816" w:hanging="360"/>
      </w:pPr>
    </w:lvl>
    <w:lvl w:ilvl="8" w:tplc="0410001B" w:tentative="1">
      <w:start w:val="1"/>
      <w:numFmt w:val="lowerRoman"/>
      <w:lvlText w:val="%9."/>
      <w:lvlJc w:val="right"/>
      <w:pPr>
        <w:ind w:left="7536" w:hanging="180"/>
      </w:pPr>
    </w:lvl>
  </w:abstractNum>
  <w:abstractNum w:abstractNumId="9" w15:restartNumberingAfterBreak="0">
    <w:nsid w:val="13304E11"/>
    <w:multiLevelType w:val="hybridMultilevel"/>
    <w:tmpl w:val="65DE75B4"/>
    <w:lvl w:ilvl="0" w:tplc="E0C213B8">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0" w15:restartNumberingAfterBreak="0">
    <w:nsid w:val="157A11B5"/>
    <w:multiLevelType w:val="multilevel"/>
    <w:tmpl w:val="AF4A2D88"/>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15:restartNumberingAfterBreak="0">
    <w:nsid w:val="1A05594D"/>
    <w:multiLevelType w:val="hybridMultilevel"/>
    <w:tmpl w:val="EC46EE6E"/>
    <w:lvl w:ilvl="0" w:tplc="0892497E">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C3024DA"/>
    <w:multiLevelType w:val="hybridMultilevel"/>
    <w:tmpl w:val="493C058C"/>
    <w:lvl w:ilvl="0" w:tplc="0EBE0626">
      <w:start w:val="3"/>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D366A85"/>
    <w:multiLevelType w:val="hybridMultilevel"/>
    <w:tmpl w:val="1070E50E"/>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D4177E0"/>
    <w:multiLevelType w:val="multilevel"/>
    <w:tmpl w:val="06727C9A"/>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23F941A4"/>
    <w:multiLevelType w:val="hybridMultilevel"/>
    <w:tmpl w:val="DB10A9DC"/>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24B977EB"/>
    <w:multiLevelType w:val="hybridMultilevel"/>
    <w:tmpl w:val="DDE63BEE"/>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539232E"/>
    <w:multiLevelType w:val="hybridMultilevel"/>
    <w:tmpl w:val="8EDADCC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2586D190"/>
    <w:multiLevelType w:val="hybridMultilevel"/>
    <w:tmpl w:val="FFFFFFFF"/>
    <w:lvl w:ilvl="0" w:tplc="E2186BD0">
      <w:start w:val="1"/>
      <w:numFmt w:val="bullet"/>
      <w:lvlText w:val=""/>
      <w:lvlJc w:val="left"/>
      <w:pPr>
        <w:ind w:left="720" w:hanging="360"/>
      </w:pPr>
      <w:rPr>
        <w:rFonts w:ascii="Symbol" w:hAnsi="Symbol" w:hint="default"/>
      </w:rPr>
    </w:lvl>
    <w:lvl w:ilvl="1" w:tplc="750A9098">
      <w:start w:val="1"/>
      <w:numFmt w:val="bullet"/>
      <w:lvlText w:val="o"/>
      <w:lvlJc w:val="left"/>
      <w:pPr>
        <w:ind w:left="1440" w:hanging="360"/>
      </w:pPr>
      <w:rPr>
        <w:rFonts w:ascii="Courier New" w:hAnsi="Courier New" w:hint="default"/>
      </w:rPr>
    </w:lvl>
    <w:lvl w:ilvl="2" w:tplc="C1D4759E">
      <w:start w:val="1"/>
      <w:numFmt w:val="bullet"/>
      <w:lvlText w:val=""/>
      <w:lvlJc w:val="left"/>
      <w:pPr>
        <w:ind w:left="2160" w:hanging="360"/>
      </w:pPr>
      <w:rPr>
        <w:rFonts w:ascii="Wingdings" w:hAnsi="Wingdings" w:hint="default"/>
      </w:rPr>
    </w:lvl>
    <w:lvl w:ilvl="3" w:tplc="8A30F716">
      <w:start w:val="1"/>
      <w:numFmt w:val="bullet"/>
      <w:lvlText w:val=""/>
      <w:lvlJc w:val="left"/>
      <w:pPr>
        <w:ind w:left="2880" w:hanging="360"/>
      </w:pPr>
      <w:rPr>
        <w:rFonts w:ascii="Symbol" w:hAnsi="Symbol" w:hint="default"/>
      </w:rPr>
    </w:lvl>
    <w:lvl w:ilvl="4" w:tplc="AC1AFDE6">
      <w:start w:val="1"/>
      <w:numFmt w:val="bullet"/>
      <w:lvlText w:val="o"/>
      <w:lvlJc w:val="left"/>
      <w:pPr>
        <w:ind w:left="3600" w:hanging="360"/>
      </w:pPr>
      <w:rPr>
        <w:rFonts w:ascii="Courier New" w:hAnsi="Courier New" w:hint="default"/>
      </w:rPr>
    </w:lvl>
    <w:lvl w:ilvl="5" w:tplc="27E4CBAE">
      <w:start w:val="1"/>
      <w:numFmt w:val="bullet"/>
      <w:lvlText w:val=""/>
      <w:lvlJc w:val="left"/>
      <w:pPr>
        <w:ind w:left="4320" w:hanging="360"/>
      </w:pPr>
      <w:rPr>
        <w:rFonts w:ascii="Wingdings" w:hAnsi="Wingdings" w:hint="default"/>
      </w:rPr>
    </w:lvl>
    <w:lvl w:ilvl="6" w:tplc="6C1A90CA">
      <w:start w:val="1"/>
      <w:numFmt w:val="bullet"/>
      <w:lvlText w:val=""/>
      <w:lvlJc w:val="left"/>
      <w:pPr>
        <w:ind w:left="5040" w:hanging="360"/>
      </w:pPr>
      <w:rPr>
        <w:rFonts w:ascii="Symbol" w:hAnsi="Symbol" w:hint="default"/>
      </w:rPr>
    </w:lvl>
    <w:lvl w:ilvl="7" w:tplc="3022D02C">
      <w:start w:val="1"/>
      <w:numFmt w:val="bullet"/>
      <w:lvlText w:val="o"/>
      <w:lvlJc w:val="left"/>
      <w:pPr>
        <w:ind w:left="5760" w:hanging="360"/>
      </w:pPr>
      <w:rPr>
        <w:rFonts w:ascii="Courier New" w:hAnsi="Courier New" w:hint="default"/>
      </w:rPr>
    </w:lvl>
    <w:lvl w:ilvl="8" w:tplc="B1D25548">
      <w:start w:val="1"/>
      <w:numFmt w:val="bullet"/>
      <w:lvlText w:val=""/>
      <w:lvlJc w:val="left"/>
      <w:pPr>
        <w:ind w:left="6480" w:hanging="360"/>
      </w:pPr>
      <w:rPr>
        <w:rFonts w:ascii="Wingdings" w:hAnsi="Wingdings" w:hint="default"/>
      </w:rPr>
    </w:lvl>
  </w:abstractNum>
  <w:abstractNum w:abstractNumId="19" w15:restartNumberingAfterBreak="0">
    <w:nsid w:val="2DC054F8"/>
    <w:multiLevelType w:val="hybridMultilevel"/>
    <w:tmpl w:val="BD448312"/>
    <w:lvl w:ilvl="0" w:tplc="B8FE6090">
      <w:start w:val="1"/>
      <w:numFmt w:val="bullet"/>
      <w:lvlText w:val=""/>
      <w:lvlJc w:val="left"/>
      <w:pPr>
        <w:ind w:left="720" w:hanging="360"/>
      </w:pPr>
      <w:rPr>
        <w:rFonts w:ascii="Wingdings" w:hAnsi="Wingdings" w:hint="default"/>
        <w:b/>
        <w:caps w:val="0"/>
        <w:smallCaps w:val="0"/>
        <w:color w:val="66FF66"/>
        <w:spacing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57150" w14:contourW="0" w14:prstMaterial="softEdge">
          <w14:bevelT w14:w="25400" w14:h="38100" w14:prst="circle"/>
        </w14:props3d>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372679B2"/>
    <w:multiLevelType w:val="multilevel"/>
    <w:tmpl w:val="AB00CA58"/>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1" w15:restartNumberingAfterBreak="0">
    <w:nsid w:val="39DD0E86"/>
    <w:multiLevelType w:val="hybridMultilevel"/>
    <w:tmpl w:val="9BE29400"/>
    <w:lvl w:ilvl="0" w:tplc="2D00E766">
      <w:start w:val="1"/>
      <w:numFmt w:val="decimal"/>
      <w:lvlText w:val="%1."/>
      <w:lvlJc w:val="left"/>
      <w:pPr>
        <w:ind w:left="928" w:hanging="360"/>
      </w:pPr>
      <w:rPr>
        <w:rFonts w:hint="default"/>
        <w:i/>
        <w:iCs/>
        <w:strike w:val="0"/>
        <w:color w:val="FFF2CC" w:themeColor="accent4" w:themeTint="33"/>
        <w:u w:val="none"/>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2" w15:restartNumberingAfterBreak="0">
    <w:nsid w:val="3F207B01"/>
    <w:multiLevelType w:val="hybridMultilevel"/>
    <w:tmpl w:val="37F29DFE"/>
    <w:lvl w:ilvl="0" w:tplc="04100009">
      <w:start w:val="1"/>
      <w:numFmt w:val="bullet"/>
      <w:lvlText w:val=""/>
      <w:lvlJc w:val="left"/>
      <w:pPr>
        <w:ind w:left="3192" w:hanging="360"/>
      </w:pPr>
      <w:rPr>
        <w:rFonts w:ascii="Wingdings" w:hAnsi="Wingdings" w:hint="default"/>
      </w:rPr>
    </w:lvl>
    <w:lvl w:ilvl="1" w:tplc="04100003" w:tentative="1">
      <w:start w:val="1"/>
      <w:numFmt w:val="bullet"/>
      <w:lvlText w:val="o"/>
      <w:lvlJc w:val="left"/>
      <w:pPr>
        <w:ind w:left="3912" w:hanging="360"/>
      </w:pPr>
      <w:rPr>
        <w:rFonts w:ascii="Courier New" w:hAnsi="Courier New" w:cs="Courier New" w:hint="default"/>
      </w:rPr>
    </w:lvl>
    <w:lvl w:ilvl="2" w:tplc="04100005" w:tentative="1">
      <w:start w:val="1"/>
      <w:numFmt w:val="bullet"/>
      <w:lvlText w:val=""/>
      <w:lvlJc w:val="left"/>
      <w:pPr>
        <w:ind w:left="4632" w:hanging="360"/>
      </w:pPr>
      <w:rPr>
        <w:rFonts w:ascii="Wingdings" w:hAnsi="Wingdings" w:hint="default"/>
      </w:rPr>
    </w:lvl>
    <w:lvl w:ilvl="3" w:tplc="04100001" w:tentative="1">
      <w:start w:val="1"/>
      <w:numFmt w:val="bullet"/>
      <w:lvlText w:val=""/>
      <w:lvlJc w:val="left"/>
      <w:pPr>
        <w:ind w:left="5352" w:hanging="360"/>
      </w:pPr>
      <w:rPr>
        <w:rFonts w:ascii="Symbol" w:hAnsi="Symbol" w:hint="default"/>
      </w:rPr>
    </w:lvl>
    <w:lvl w:ilvl="4" w:tplc="04100003" w:tentative="1">
      <w:start w:val="1"/>
      <w:numFmt w:val="bullet"/>
      <w:lvlText w:val="o"/>
      <w:lvlJc w:val="left"/>
      <w:pPr>
        <w:ind w:left="6072" w:hanging="360"/>
      </w:pPr>
      <w:rPr>
        <w:rFonts w:ascii="Courier New" w:hAnsi="Courier New" w:cs="Courier New" w:hint="default"/>
      </w:rPr>
    </w:lvl>
    <w:lvl w:ilvl="5" w:tplc="04100005" w:tentative="1">
      <w:start w:val="1"/>
      <w:numFmt w:val="bullet"/>
      <w:lvlText w:val=""/>
      <w:lvlJc w:val="left"/>
      <w:pPr>
        <w:ind w:left="6792" w:hanging="360"/>
      </w:pPr>
      <w:rPr>
        <w:rFonts w:ascii="Wingdings" w:hAnsi="Wingdings" w:hint="default"/>
      </w:rPr>
    </w:lvl>
    <w:lvl w:ilvl="6" w:tplc="04100001" w:tentative="1">
      <w:start w:val="1"/>
      <w:numFmt w:val="bullet"/>
      <w:lvlText w:val=""/>
      <w:lvlJc w:val="left"/>
      <w:pPr>
        <w:ind w:left="7512" w:hanging="360"/>
      </w:pPr>
      <w:rPr>
        <w:rFonts w:ascii="Symbol" w:hAnsi="Symbol" w:hint="default"/>
      </w:rPr>
    </w:lvl>
    <w:lvl w:ilvl="7" w:tplc="04100003" w:tentative="1">
      <w:start w:val="1"/>
      <w:numFmt w:val="bullet"/>
      <w:lvlText w:val="o"/>
      <w:lvlJc w:val="left"/>
      <w:pPr>
        <w:ind w:left="8232" w:hanging="360"/>
      </w:pPr>
      <w:rPr>
        <w:rFonts w:ascii="Courier New" w:hAnsi="Courier New" w:cs="Courier New" w:hint="default"/>
      </w:rPr>
    </w:lvl>
    <w:lvl w:ilvl="8" w:tplc="04100005" w:tentative="1">
      <w:start w:val="1"/>
      <w:numFmt w:val="bullet"/>
      <w:lvlText w:val=""/>
      <w:lvlJc w:val="left"/>
      <w:pPr>
        <w:ind w:left="8952" w:hanging="360"/>
      </w:pPr>
      <w:rPr>
        <w:rFonts w:ascii="Wingdings" w:hAnsi="Wingdings" w:hint="default"/>
      </w:rPr>
    </w:lvl>
  </w:abstractNum>
  <w:abstractNum w:abstractNumId="23" w15:restartNumberingAfterBreak="0">
    <w:nsid w:val="44EE1081"/>
    <w:multiLevelType w:val="hybridMultilevel"/>
    <w:tmpl w:val="9BCE95CE"/>
    <w:lvl w:ilvl="0" w:tplc="C9A68A80">
      <w:start w:val="1"/>
      <w:numFmt w:val="bullet"/>
      <w:lvlText w:val=""/>
      <w:lvlJc w:val="left"/>
      <w:pPr>
        <w:ind w:left="720" w:hanging="360"/>
      </w:pPr>
      <w:rPr>
        <w:rFonts w:ascii="Webdings" w:hAnsi="Web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6E74E6F"/>
    <w:multiLevelType w:val="hybridMultilevel"/>
    <w:tmpl w:val="66A4202A"/>
    <w:lvl w:ilvl="0" w:tplc="0410000B">
      <w:start w:val="1"/>
      <w:numFmt w:val="bullet"/>
      <w:lvlText w:val=""/>
      <w:lvlJc w:val="left"/>
      <w:pPr>
        <w:ind w:left="2484" w:hanging="360"/>
      </w:pPr>
      <w:rPr>
        <w:rFonts w:ascii="Wingdings" w:hAnsi="Wingdings" w:hint="default"/>
      </w:rPr>
    </w:lvl>
    <w:lvl w:ilvl="1" w:tplc="04100003" w:tentative="1">
      <w:start w:val="1"/>
      <w:numFmt w:val="bullet"/>
      <w:lvlText w:val="o"/>
      <w:lvlJc w:val="left"/>
      <w:pPr>
        <w:ind w:left="3204" w:hanging="360"/>
      </w:pPr>
      <w:rPr>
        <w:rFonts w:ascii="Courier New" w:hAnsi="Courier New" w:cs="Courier New" w:hint="default"/>
      </w:rPr>
    </w:lvl>
    <w:lvl w:ilvl="2" w:tplc="04100005" w:tentative="1">
      <w:start w:val="1"/>
      <w:numFmt w:val="bullet"/>
      <w:lvlText w:val=""/>
      <w:lvlJc w:val="left"/>
      <w:pPr>
        <w:ind w:left="3924" w:hanging="360"/>
      </w:pPr>
      <w:rPr>
        <w:rFonts w:ascii="Wingdings" w:hAnsi="Wingdings" w:hint="default"/>
      </w:rPr>
    </w:lvl>
    <w:lvl w:ilvl="3" w:tplc="04100001" w:tentative="1">
      <w:start w:val="1"/>
      <w:numFmt w:val="bullet"/>
      <w:lvlText w:val=""/>
      <w:lvlJc w:val="left"/>
      <w:pPr>
        <w:ind w:left="4644" w:hanging="360"/>
      </w:pPr>
      <w:rPr>
        <w:rFonts w:ascii="Symbol" w:hAnsi="Symbol" w:hint="default"/>
      </w:rPr>
    </w:lvl>
    <w:lvl w:ilvl="4" w:tplc="04100003" w:tentative="1">
      <w:start w:val="1"/>
      <w:numFmt w:val="bullet"/>
      <w:lvlText w:val="o"/>
      <w:lvlJc w:val="left"/>
      <w:pPr>
        <w:ind w:left="5364" w:hanging="360"/>
      </w:pPr>
      <w:rPr>
        <w:rFonts w:ascii="Courier New" w:hAnsi="Courier New" w:cs="Courier New" w:hint="default"/>
      </w:rPr>
    </w:lvl>
    <w:lvl w:ilvl="5" w:tplc="04100005" w:tentative="1">
      <w:start w:val="1"/>
      <w:numFmt w:val="bullet"/>
      <w:lvlText w:val=""/>
      <w:lvlJc w:val="left"/>
      <w:pPr>
        <w:ind w:left="6084" w:hanging="360"/>
      </w:pPr>
      <w:rPr>
        <w:rFonts w:ascii="Wingdings" w:hAnsi="Wingdings" w:hint="default"/>
      </w:rPr>
    </w:lvl>
    <w:lvl w:ilvl="6" w:tplc="04100001" w:tentative="1">
      <w:start w:val="1"/>
      <w:numFmt w:val="bullet"/>
      <w:lvlText w:val=""/>
      <w:lvlJc w:val="left"/>
      <w:pPr>
        <w:ind w:left="6804" w:hanging="360"/>
      </w:pPr>
      <w:rPr>
        <w:rFonts w:ascii="Symbol" w:hAnsi="Symbol" w:hint="default"/>
      </w:rPr>
    </w:lvl>
    <w:lvl w:ilvl="7" w:tplc="04100003" w:tentative="1">
      <w:start w:val="1"/>
      <w:numFmt w:val="bullet"/>
      <w:lvlText w:val="o"/>
      <w:lvlJc w:val="left"/>
      <w:pPr>
        <w:ind w:left="7524" w:hanging="360"/>
      </w:pPr>
      <w:rPr>
        <w:rFonts w:ascii="Courier New" w:hAnsi="Courier New" w:cs="Courier New" w:hint="default"/>
      </w:rPr>
    </w:lvl>
    <w:lvl w:ilvl="8" w:tplc="04100005" w:tentative="1">
      <w:start w:val="1"/>
      <w:numFmt w:val="bullet"/>
      <w:lvlText w:val=""/>
      <w:lvlJc w:val="left"/>
      <w:pPr>
        <w:ind w:left="8244" w:hanging="360"/>
      </w:pPr>
      <w:rPr>
        <w:rFonts w:ascii="Wingdings" w:hAnsi="Wingdings" w:hint="default"/>
      </w:rPr>
    </w:lvl>
  </w:abstractNum>
  <w:abstractNum w:abstractNumId="25" w15:restartNumberingAfterBreak="0">
    <w:nsid w:val="4BCC08E2"/>
    <w:multiLevelType w:val="multilevel"/>
    <w:tmpl w:val="44CCB8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b/>
        <w:caps w:val="0"/>
        <w:smallCaps w:val="0"/>
        <w:color w:val="00B0F0"/>
        <w:spacing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57150" w14:contourW="0" w14:prstMaterial="softEdge">
          <w14:bevelT w14:w="25400" w14:h="38100" w14:prst="circle"/>
        </w14:props3d>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4BE7265B"/>
    <w:multiLevelType w:val="hybridMultilevel"/>
    <w:tmpl w:val="44EA379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FA97FA1"/>
    <w:multiLevelType w:val="hybridMultilevel"/>
    <w:tmpl w:val="FFFFFFFF"/>
    <w:lvl w:ilvl="0" w:tplc="82080618">
      <w:start w:val="1"/>
      <w:numFmt w:val="bullet"/>
      <w:lvlText w:val=""/>
      <w:lvlJc w:val="left"/>
      <w:pPr>
        <w:ind w:left="720" w:hanging="360"/>
      </w:pPr>
      <w:rPr>
        <w:rFonts w:ascii="Wingdings" w:hAnsi="Wingdings" w:hint="default"/>
      </w:rPr>
    </w:lvl>
    <w:lvl w:ilvl="1" w:tplc="FF3EAA9E">
      <w:start w:val="1"/>
      <w:numFmt w:val="bullet"/>
      <w:lvlText w:val="o"/>
      <w:lvlJc w:val="left"/>
      <w:pPr>
        <w:ind w:left="1440" w:hanging="360"/>
      </w:pPr>
      <w:rPr>
        <w:rFonts w:ascii="Courier New" w:hAnsi="Courier New" w:hint="default"/>
      </w:rPr>
    </w:lvl>
    <w:lvl w:ilvl="2" w:tplc="FD261E3A">
      <w:start w:val="1"/>
      <w:numFmt w:val="bullet"/>
      <w:lvlText w:val=""/>
      <w:lvlJc w:val="left"/>
      <w:pPr>
        <w:ind w:left="2160" w:hanging="360"/>
      </w:pPr>
      <w:rPr>
        <w:rFonts w:ascii="Wingdings" w:hAnsi="Wingdings" w:hint="default"/>
      </w:rPr>
    </w:lvl>
    <w:lvl w:ilvl="3" w:tplc="14AC6364">
      <w:start w:val="1"/>
      <w:numFmt w:val="bullet"/>
      <w:lvlText w:val=""/>
      <w:lvlJc w:val="left"/>
      <w:pPr>
        <w:ind w:left="2880" w:hanging="360"/>
      </w:pPr>
      <w:rPr>
        <w:rFonts w:ascii="Symbol" w:hAnsi="Symbol" w:hint="default"/>
      </w:rPr>
    </w:lvl>
    <w:lvl w:ilvl="4" w:tplc="8AE88E5E">
      <w:start w:val="1"/>
      <w:numFmt w:val="bullet"/>
      <w:lvlText w:val="o"/>
      <w:lvlJc w:val="left"/>
      <w:pPr>
        <w:ind w:left="3600" w:hanging="360"/>
      </w:pPr>
      <w:rPr>
        <w:rFonts w:ascii="Courier New" w:hAnsi="Courier New" w:hint="default"/>
      </w:rPr>
    </w:lvl>
    <w:lvl w:ilvl="5" w:tplc="465E1762">
      <w:start w:val="1"/>
      <w:numFmt w:val="bullet"/>
      <w:lvlText w:val=""/>
      <w:lvlJc w:val="left"/>
      <w:pPr>
        <w:ind w:left="4320" w:hanging="360"/>
      </w:pPr>
      <w:rPr>
        <w:rFonts w:ascii="Wingdings" w:hAnsi="Wingdings" w:hint="default"/>
      </w:rPr>
    </w:lvl>
    <w:lvl w:ilvl="6" w:tplc="4B462528">
      <w:start w:val="1"/>
      <w:numFmt w:val="bullet"/>
      <w:lvlText w:val=""/>
      <w:lvlJc w:val="left"/>
      <w:pPr>
        <w:ind w:left="5040" w:hanging="360"/>
      </w:pPr>
      <w:rPr>
        <w:rFonts w:ascii="Symbol" w:hAnsi="Symbol" w:hint="default"/>
      </w:rPr>
    </w:lvl>
    <w:lvl w:ilvl="7" w:tplc="B526174E">
      <w:start w:val="1"/>
      <w:numFmt w:val="bullet"/>
      <w:lvlText w:val="o"/>
      <w:lvlJc w:val="left"/>
      <w:pPr>
        <w:ind w:left="5760" w:hanging="360"/>
      </w:pPr>
      <w:rPr>
        <w:rFonts w:ascii="Courier New" w:hAnsi="Courier New" w:hint="default"/>
      </w:rPr>
    </w:lvl>
    <w:lvl w:ilvl="8" w:tplc="9230C856">
      <w:start w:val="1"/>
      <w:numFmt w:val="bullet"/>
      <w:lvlText w:val=""/>
      <w:lvlJc w:val="left"/>
      <w:pPr>
        <w:ind w:left="6480" w:hanging="360"/>
      </w:pPr>
      <w:rPr>
        <w:rFonts w:ascii="Wingdings" w:hAnsi="Wingdings" w:hint="default"/>
      </w:rPr>
    </w:lvl>
  </w:abstractNum>
  <w:abstractNum w:abstractNumId="28" w15:restartNumberingAfterBreak="0">
    <w:nsid w:val="529D2AEB"/>
    <w:multiLevelType w:val="multilevel"/>
    <w:tmpl w:val="C778D06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15:restartNumberingAfterBreak="0">
    <w:nsid w:val="53274514"/>
    <w:multiLevelType w:val="multilevel"/>
    <w:tmpl w:val="026AFF38"/>
    <w:lvl w:ilvl="0">
      <w:start w:val="1"/>
      <w:numFmt w:val="bullet"/>
      <w:lvlText w:val=""/>
      <w:lvlJc w:val="left"/>
      <w:pPr>
        <w:ind w:left="360" w:hanging="360"/>
      </w:pPr>
      <w:rPr>
        <w:rFonts w:ascii="Wingdings" w:hAnsi="Wingdings" w:hint="default"/>
        <w:b/>
        <w:caps w:val="0"/>
        <w:smallCaps w:val="0"/>
        <w:color w:val="FFC000" w:themeColor="accent4"/>
        <w:spacing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57150" w14:contourW="0" w14:prstMaterial="softEdge">
          <w14:bevelT w14:w="25400" w14:h="38100" w14:prst="circle"/>
        </w14:props3d>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0" w15:restartNumberingAfterBreak="0">
    <w:nsid w:val="56C63966"/>
    <w:multiLevelType w:val="hybridMultilevel"/>
    <w:tmpl w:val="717409AA"/>
    <w:lvl w:ilvl="0" w:tplc="6B7CD96C">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5A331CF9"/>
    <w:multiLevelType w:val="hybridMultilevel"/>
    <w:tmpl w:val="CDD26C66"/>
    <w:lvl w:ilvl="0" w:tplc="0410000D">
      <w:start w:val="1"/>
      <w:numFmt w:val="bullet"/>
      <w:lvlText w:val=""/>
      <w:lvlJc w:val="left"/>
      <w:pPr>
        <w:ind w:left="1077" w:hanging="360"/>
      </w:pPr>
      <w:rPr>
        <w:rFonts w:ascii="Wingdings" w:hAnsi="Wingdings"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32" w15:restartNumberingAfterBreak="0">
    <w:nsid w:val="5C26752D"/>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3" w15:restartNumberingAfterBreak="0">
    <w:nsid w:val="5CCF397A"/>
    <w:multiLevelType w:val="hybridMultilevel"/>
    <w:tmpl w:val="04E2AD18"/>
    <w:lvl w:ilvl="0" w:tplc="1CC40126">
      <w:start w:val="1"/>
      <w:numFmt w:val="bullet"/>
      <w:lvlText w:val=""/>
      <w:lvlJc w:val="left"/>
      <w:pPr>
        <w:ind w:left="720" w:hanging="360"/>
      </w:pPr>
      <w:rPr>
        <w:rFonts w:ascii="Wingdings" w:hAnsi="Wingdings" w:hint="default"/>
        <w:b/>
        <w:caps w:val="0"/>
        <w:smallCaps w:val="0"/>
        <w:color w:val="00B0F0"/>
        <w:spacing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57150" w14:contourW="0" w14:prstMaterial="softEdge">
          <w14:bevelT w14:w="25400" w14:h="38100" w14:prst="circle"/>
        </w14:props3d>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2452DBA"/>
    <w:multiLevelType w:val="multilevel"/>
    <w:tmpl w:val="A5FE70B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b/>
        <w:caps w:val="0"/>
        <w:smallCaps w:val="0"/>
        <w:color w:val="00B0F0"/>
        <w:spacing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57150" w14:contourW="0" w14:prstMaterial="softEdge">
          <w14:bevelT w14:w="25400" w14:h="38100" w14:prst="circle"/>
        </w14:props3d>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5" w15:restartNumberingAfterBreak="0">
    <w:nsid w:val="654A03C3"/>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6" w15:restartNumberingAfterBreak="0">
    <w:nsid w:val="6B032278"/>
    <w:multiLevelType w:val="hybridMultilevel"/>
    <w:tmpl w:val="FA9CF26C"/>
    <w:lvl w:ilvl="0" w:tplc="E4784E5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75EA6EC7"/>
    <w:multiLevelType w:val="hybridMultilevel"/>
    <w:tmpl w:val="636EE346"/>
    <w:lvl w:ilvl="0" w:tplc="C42EA370">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762409A2"/>
    <w:multiLevelType w:val="hybridMultilevel"/>
    <w:tmpl w:val="8A3EECF4"/>
    <w:lvl w:ilvl="0" w:tplc="0410000B">
      <w:start w:val="1"/>
      <w:numFmt w:val="bullet"/>
      <w:lvlText w:val=""/>
      <w:lvlJc w:val="left"/>
      <w:pPr>
        <w:ind w:left="9564" w:hanging="360"/>
      </w:pPr>
      <w:rPr>
        <w:rFonts w:ascii="Wingdings" w:hAnsi="Wingdings" w:hint="default"/>
      </w:rPr>
    </w:lvl>
    <w:lvl w:ilvl="1" w:tplc="04100003" w:tentative="1">
      <w:start w:val="1"/>
      <w:numFmt w:val="bullet"/>
      <w:lvlText w:val="o"/>
      <w:lvlJc w:val="left"/>
      <w:pPr>
        <w:ind w:left="10284" w:hanging="360"/>
      </w:pPr>
      <w:rPr>
        <w:rFonts w:ascii="Courier New" w:hAnsi="Courier New" w:cs="Courier New" w:hint="default"/>
      </w:rPr>
    </w:lvl>
    <w:lvl w:ilvl="2" w:tplc="04100005" w:tentative="1">
      <w:start w:val="1"/>
      <w:numFmt w:val="bullet"/>
      <w:lvlText w:val=""/>
      <w:lvlJc w:val="left"/>
      <w:pPr>
        <w:ind w:left="11004" w:hanging="360"/>
      </w:pPr>
      <w:rPr>
        <w:rFonts w:ascii="Wingdings" w:hAnsi="Wingdings" w:hint="default"/>
      </w:rPr>
    </w:lvl>
    <w:lvl w:ilvl="3" w:tplc="04100001" w:tentative="1">
      <w:start w:val="1"/>
      <w:numFmt w:val="bullet"/>
      <w:lvlText w:val=""/>
      <w:lvlJc w:val="left"/>
      <w:pPr>
        <w:ind w:left="11724" w:hanging="360"/>
      </w:pPr>
      <w:rPr>
        <w:rFonts w:ascii="Symbol" w:hAnsi="Symbol" w:hint="default"/>
      </w:rPr>
    </w:lvl>
    <w:lvl w:ilvl="4" w:tplc="04100003" w:tentative="1">
      <w:start w:val="1"/>
      <w:numFmt w:val="bullet"/>
      <w:lvlText w:val="o"/>
      <w:lvlJc w:val="left"/>
      <w:pPr>
        <w:ind w:left="12444" w:hanging="360"/>
      </w:pPr>
      <w:rPr>
        <w:rFonts w:ascii="Courier New" w:hAnsi="Courier New" w:cs="Courier New" w:hint="default"/>
      </w:rPr>
    </w:lvl>
    <w:lvl w:ilvl="5" w:tplc="04100005" w:tentative="1">
      <w:start w:val="1"/>
      <w:numFmt w:val="bullet"/>
      <w:lvlText w:val=""/>
      <w:lvlJc w:val="left"/>
      <w:pPr>
        <w:ind w:left="13164" w:hanging="360"/>
      </w:pPr>
      <w:rPr>
        <w:rFonts w:ascii="Wingdings" w:hAnsi="Wingdings" w:hint="default"/>
      </w:rPr>
    </w:lvl>
    <w:lvl w:ilvl="6" w:tplc="04100001" w:tentative="1">
      <w:start w:val="1"/>
      <w:numFmt w:val="bullet"/>
      <w:lvlText w:val=""/>
      <w:lvlJc w:val="left"/>
      <w:pPr>
        <w:ind w:left="13884" w:hanging="360"/>
      </w:pPr>
      <w:rPr>
        <w:rFonts w:ascii="Symbol" w:hAnsi="Symbol" w:hint="default"/>
      </w:rPr>
    </w:lvl>
    <w:lvl w:ilvl="7" w:tplc="04100003" w:tentative="1">
      <w:start w:val="1"/>
      <w:numFmt w:val="bullet"/>
      <w:lvlText w:val="o"/>
      <w:lvlJc w:val="left"/>
      <w:pPr>
        <w:ind w:left="14604" w:hanging="360"/>
      </w:pPr>
      <w:rPr>
        <w:rFonts w:ascii="Courier New" w:hAnsi="Courier New" w:cs="Courier New" w:hint="default"/>
      </w:rPr>
    </w:lvl>
    <w:lvl w:ilvl="8" w:tplc="04100005" w:tentative="1">
      <w:start w:val="1"/>
      <w:numFmt w:val="bullet"/>
      <w:lvlText w:val=""/>
      <w:lvlJc w:val="left"/>
      <w:pPr>
        <w:ind w:left="15324" w:hanging="360"/>
      </w:pPr>
      <w:rPr>
        <w:rFonts w:ascii="Wingdings" w:hAnsi="Wingdings" w:hint="default"/>
      </w:rPr>
    </w:lvl>
  </w:abstractNum>
  <w:abstractNum w:abstractNumId="39" w15:restartNumberingAfterBreak="0">
    <w:nsid w:val="770C5F0C"/>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0" w15:restartNumberingAfterBreak="0">
    <w:nsid w:val="77320DFC"/>
    <w:multiLevelType w:val="multilevel"/>
    <w:tmpl w:val="EE68A0B0"/>
    <w:lvl w:ilvl="0">
      <w:start w:val="1"/>
      <w:numFmt w:val="bullet"/>
      <w:lvlText w:val=""/>
      <w:lvlJc w:val="left"/>
      <w:pPr>
        <w:ind w:left="360" w:hanging="360"/>
      </w:pPr>
      <w:rPr>
        <w:rFonts w:ascii="Wingdings" w:hAnsi="Wingdings" w:hint="default"/>
        <w:b/>
        <w:caps w:val="0"/>
        <w:smallCaps w:val="0"/>
        <w:color w:val="00B0F0"/>
        <w:spacing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props3d w14:extrusionH="57150" w14:contourW="0" w14:prstMaterial="softEdge">
          <w14:bevelT w14:w="25400" w14:h="38100" w14:prst="circle"/>
        </w14:props3d>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1" w15:restartNumberingAfterBreak="0">
    <w:nsid w:val="777923AF"/>
    <w:multiLevelType w:val="multilevel"/>
    <w:tmpl w:val="6BB68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B6808B2"/>
    <w:multiLevelType w:val="multilevel"/>
    <w:tmpl w:val="819CD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CAF0E17"/>
    <w:multiLevelType w:val="multilevel"/>
    <w:tmpl w:val="4DC85E16"/>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16cid:durableId="1335452052">
    <w:abstractNumId w:val="18"/>
  </w:num>
  <w:num w:numId="2" w16cid:durableId="1752042461">
    <w:abstractNumId w:val="21"/>
  </w:num>
  <w:num w:numId="3" w16cid:durableId="1257130606">
    <w:abstractNumId w:val="32"/>
  </w:num>
  <w:num w:numId="4" w16cid:durableId="928779240">
    <w:abstractNumId w:val="15"/>
  </w:num>
  <w:num w:numId="5" w16cid:durableId="14576158">
    <w:abstractNumId w:val="24"/>
  </w:num>
  <w:num w:numId="6" w16cid:durableId="1850100131">
    <w:abstractNumId w:val="38"/>
  </w:num>
  <w:num w:numId="7" w16cid:durableId="1143699228">
    <w:abstractNumId w:val="8"/>
  </w:num>
  <w:num w:numId="8" w16cid:durableId="1884169557">
    <w:abstractNumId w:val="26"/>
  </w:num>
  <w:num w:numId="9" w16cid:durableId="1746881862">
    <w:abstractNumId w:val="17"/>
  </w:num>
  <w:num w:numId="10" w16cid:durableId="805513996">
    <w:abstractNumId w:val="3"/>
  </w:num>
  <w:num w:numId="11" w16cid:durableId="559943286">
    <w:abstractNumId w:val="29"/>
  </w:num>
  <w:num w:numId="12" w16cid:durableId="887573573">
    <w:abstractNumId w:val="5"/>
  </w:num>
  <w:num w:numId="13" w16cid:durableId="237832475">
    <w:abstractNumId w:val="28"/>
  </w:num>
  <w:num w:numId="14" w16cid:durableId="745541929">
    <w:abstractNumId w:val="14"/>
  </w:num>
  <w:num w:numId="15" w16cid:durableId="1623221756">
    <w:abstractNumId w:val="10"/>
  </w:num>
  <w:num w:numId="16" w16cid:durableId="746999244">
    <w:abstractNumId w:val="43"/>
  </w:num>
  <w:num w:numId="17" w16cid:durableId="414400158">
    <w:abstractNumId w:val="35"/>
  </w:num>
  <w:num w:numId="18" w16cid:durableId="742532022">
    <w:abstractNumId w:val="40"/>
  </w:num>
  <w:num w:numId="19" w16cid:durableId="1707681052">
    <w:abstractNumId w:val="12"/>
  </w:num>
  <w:num w:numId="20" w16cid:durableId="1332290337">
    <w:abstractNumId w:val="39"/>
  </w:num>
  <w:num w:numId="21" w16cid:durableId="685135496">
    <w:abstractNumId w:val="34"/>
  </w:num>
  <w:num w:numId="22" w16cid:durableId="205459946">
    <w:abstractNumId w:val="25"/>
  </w:num>
  <w:num w:numId="23" w16cid:durableId="374351205">
    <w:abstractNumId w:val="30"/>
  </w:num>
  <w:num w:numId="24" w16cid:durableId="548539521">
    <w:abstractNumId w:val="36"/>
  </w:num>
  <w:num w:numId="25" w16cid:durableId="1822186860">
    <w:abstractNumId w:val="0"/>
  </w:num>
  <w:num w:numId="26" w16cid:durableId="2106880235">
    <w:abstractNumId w:val="16"/>
  </w:num>
  <w:num w:numId="27" w16cid:durableId="1452750220">
    <w:abstractNumId w:val="22"/>
  </w:num>
  <w:num w:numId="28" w16cid:durableId="715155649">
    <w:abstractNumId w:val="13"/>
  </w:num>
  <w:num w:numId="29" w16cid:durableId="1923945927">
    <w:abstractNumId w:val="11"/>
  </w:num>
  <w:num w:numId="30" w16cid:durableId="675156464">
    <w:abstractNumId w:val="6"/>
  </w:num>
  <w:num w:numId="31" w16cid:durableId="2125876833">
    <w:abstractNumId w:val="20"/>
  </w:num>
  <w:num w:numId="32" w16cid:durableId="1461266922">
    <w:abstractNumId w:val="23"/>
  </w:num>
  <w:num w:numId="33" w16cid:durableId="83647866">
    <w:abstractNumId w:val="9"/>
  </w:num>
  <w:num w:numId="34" w16cid:durableId="173501122">
    <w:abstractNumId w:val="27"/>
  </w:num>
  <w:num w:numId="35" w16cid:durableId="1680963248">
    <w:abstractNumId w:val="19"/>
  </w:num>
  <w:num w:numId="36" w16cid:durableId="560096493">
    <w:abstractNumId w:val="37"/>
  </w:num>
  <w:num w:numId="37" w16cid:durableId="714425782">
    <w:abstractNumId w:val="1"/>
  </w:num>
  <w:num w:numId="38" w16cid:durableId="829296501">
    <w:abstractNumId w:val="42"/>
  </w:num>
  <w:num w:numId="39" w16cid:durableId="83459026">
    <w:abstractNumId w:val="2"/>
  </w:num>
  <w:num w:numId="40" w16cid:durableId="1286498496">
    <w:abstractNumId w:val="4"/>
  </w:num>
  <w:num w:numId="41" w16cid:durableId="107968127">
    <w:abstractNumId w:val="41"/>
  </w:num>
  <w:num w:numId="42" w16cid:durableId="519466066">
    <w:abstractNumId w:val="33"/>
  </w:num>
  <w:num w:numId="43" w16cid:durableId="1295450522">
    <w:abstractNumId w:val="7"/>
  </w:num>
  <w:num w:numId="44" w16cid:durableId="1263029707">
    <w:abstractNumId w:val="3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Gabriele Carraglia">
    <w15:presenceInfo w15:providerId="AD" w15:userId="S::gabriele.carraglia@romagnosi.it::24b47d20-c771-4674-a4a7-33e543305c2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1D10"/>
    <w:rsid w:val="000003FE"/>
    <w:rsid w:val="00001956"/>
    <w:rsid w:val="000042D5"/>
    <w:rsid w:val="00007F0B"/>
    <w:rsid w:val="000121C0"/>
    <w:rsid w:val="00012BA1"/>
    <w:rsid w:val="000133D6"/>
    <w:rsid w:val="00013875"/>
    <w:rsid w:val="00015228"/>
    <w:rsid w:val="000162E6"/>
    <w:rsid w:val="000163A7"/>
    <w:rsid w:val="0002007E"/>
    <w:rsid w:val="00020787"/>
    <w:rsid w:val="00020DFF"/>
    <w:rsid w:val="000212E7"/>
    <w:rsid w:val="00021CE8"/>
    <w:rsid w:val="00024551"/>
    <w:rsid w:val="00024B16"/>
    <w:rsid w:val="00024C28"/>
    <w:rsid w:val="00027449"/>
    <w:rsid w:val="00030E1F"/>
    <w:rsid w:val="00031474"/>
    <w:rsid w:val="00032F52"/>
    <w:rsid w:val="00036617"/>
    <w:rsid w:val="000400DE"/>
    <w:rsid w:val="000434AD"/>
    <w:rsid w:val="00045117"/>
    <w:rsid w:val="00047443"/>
    <w:rsid w:val="00052014"/>
    <w:rsid w:val="0005683C"/>
    <w:rsid w:val="00056BC9"/>
    <w:rsid w:val="00060C3D"/>
    <w:rsid w:val="00063DA5"/>
    <w:rsid w:val="00064917"/>
    <w:rsid w:val="0007296B"/>
    <w:rsid w:val="000756B5"/>
    <w:rsid w:val="00077083"/>
    <w:rsid w:val="00082108"/>
    <w:rsid w:val="000829EA"/>
    <w:rsid w:val="000830C6"/>
    <w:rsid w:val="000879CE"/>
    <w:rsid w:val="0009066A"/>
    <w:rsid w:val="000921DA"/>
    <w:rsid w:val="000940B3"/>
    <w:rsid w:val="00094701"/>
    <w:rsid w:val="00097CE5"/>
    <w:rsid w:val="000A4257"/>
    <w:rsid w:val="000A4A57"/>
    <w:rsid w:val="000A4C7B"/>
    <w:rsid w:val="000B0B48"/>
    <w:rsid w:val="000B0EC6"/>
    <w:rsid w:val="000B2B5C"/>
    <w:rsid w:val="000B2D02"/>
    <w:rsid w:val="000B5DBC"/>
    <w:rsid w:val="000B7846"/>
    <w:rsid w:val="000C0517"/>
    <w:rsid w:val="000C07A1"/>
    <w:rsid w:val="000C1386"/>
    <w:rsid w:val="000C2073"/>
    <w:rsid w:val="000C3E81"/>
    <w:rsid w:val="000C3F50"/>
    <w:rsid w:val="000C4C01"/>
    <w:rsid w:val="000C6F29"/>
    <w:rsid w:val="000C74E6"/>
    <w:rsid w:val="000C7618"/>
    <w:rsid w:val="000D281C"/>
    <w:rsid w:val="000D356F"/>
    <w:rsid w:val="000D6C00"/>
    <w:rsid w:val="000D6FFE"/>
    <w:rsid w:val="000D722B"/>
    <w:rsid w:val="000D7D31"/>
    <w:rsid w:val="000E0553"/>
    <w:rsid w:val="000E1630"/>
    <w:rsid w:val="000E494F"/>
    <w:rsid w:val="000E4BB8"/>
    <w:rsid w:val="000E5E99"/>
    <w:rsid w:val="000E5F3D"/>
    <w:rsid w:val="000E673C"/>
    <w:rsid w:val="000E6CA7"/>
    <w:rsid w:val="000F1ADF"/>
    <w:rsid w:val="000F28A5"/>
    <w:rsid w:val="000F2B64"/>
    <w:rsid w:val="000F4DAC"/>
    <w:rsid w:val="000F6720"/>
    <w:rsid w:val="000F6A41"/>
    <w:rsid w:val="000F7018"/>
    <w:rsid w:val="00100B77"/>
    <w:rsid w:val="00101327"/>
    <w:rsid w:val="001029AE"/>
    <w:rsid w:val="00103F96"/>
    <w:rsid w:val="00104E20"/>
    <w:rsid w:val="00105BDD"/>
    <w:rsid w:val="001116BA"/>
    <w:rsid w:val="00115EC4"/>
    <w:rsid w:val="001173CC"/>
    <w:rsid w:val="00117EE2"/>
    <w:rsid w:val="00121271"/>
    <w:rsid w:val="00121B78"/>
    <w:rsid w:val="00121D1A"/>
    <w:rsid w:val="00122386"/>
    <w:rsid w:val="00122484"/>
    <w:rsid w:val="00123E34"/>
    <w:rsid w:val="00123E5F"/>
    <w:rsid w:val="00126715"/>
    <w:rsid w:val="00131C80"/>
    <w:rsid w:val="00132030"/>
    <w:rsid w:val="00132505"/>
    <w:rsid w:val="00135B43"/>
    <w:rsid w:val="00136D19"/>
    <w:rsid w:val="00137A2A"/>
    <w:rsid w:val="00140F51"/>
    <w:rsid w:val="001411D5"/>
    <w:rsid w:val="001463E2"/>
    <w:rsid w:val="0014670D"/>
    <w:rsid w:val="00147114"/>
    <w:rsid w:val="001502A0"/>
    <w:rsid w:val="00151E6F"/>
    <w:rsid w:val="00152232"/>
    <w:rsid w:val="001545E0"/>
    <w:rsid w:val="00156D7D"/>
    <w:rsid w:val="0015770C"/>
    <w:rsid w:val="00160350"/>
    <w:rsid w:val="00165323"/>
    <w:rsid w:val="00167811"/>
    <w:rsid w:val="00167E1F"/>
    <w:rsid w:val="00167E84"/>
    <w:rsid w:val="00170895"/>
    <w:rsid w:val="00171544"/>
    <w:rsid w:val="00172441"/>
    <w:rsid w:val="00172AC0"/>
    <w:rsid w:val="001745F2"/>
    <w:rsid w:val="00175770"/>
    <w:rsid w:val="001763ED"/>
    <w:rsid w:val="001806B5"/>
    <w:rsid w:val="001812E9"/>
    <w:rsid w:val="00187989"/>
    <w:rsid w:val="001932AE"/>
    <w:rsid w:val="001951D8"/>
    <w:rsid w:val="001952F0"/>
    <w:rsid w:val="001A0345"/>
    <w:rsid w:val="001A23F1"/>
    <w:rsid w:val="001A2F67"/>
    <w:rsid w:val="001A3C69"/>
    <w:rsid w:val="001A3EDD"/>
    <w:rsid w:val="001A40A5"/>
    <w:rsid w:val="001A4F96"/>
    <w:rsid w:val="001A552F"/>
    <w:rsid w:val="001A55E8"/>
    <w:rsid w:val="001A72A1"/>
    <w:rsid w:val="001A797D"/>
    <w:rsid w:val="001B1E5A"/>
    <w:rsid w:val="001B1FB0"/>
    <w:rsid w:val="001B2D22"/>
    <w:rsid w:val="001B42FF"/>
    <w:rsid w:val="001B566C"/>
    <w:rsid w:val="001B7ABA"/>
    <w:rsid w:val="001C1524"/>
    <w:rsid w:val="001C17ED"/>
    <w:rsid w:val="001C5C25"/>
    <w:rsid w:val="001C7020"/>
    <w:rsid w:val="001C7BAA"/>
    <w:rsid w:val="001D05F2"/>
    <w:rsid w:val="001D1047"/>
    <w:rsid w:val="001D445C"/>
    <w:rsid w:val="001D44AF"/>
    <w:rsid w:val="001D6F13"/>
    <w:rsid w:val="001D7309"/>
    <w:rsid w:val="001D7AF1"/>
    <w:rsid w:val="001E17E9"/>
    <w:rsid w:val="001E3D7B"/>
    <w:rsid w:val="001E3EDC"/>
    <w:rsid w:val="001E424B"/>
    <w:rsid w:val="001E70C8"/>
    <w:rsid w:val="001E76AF"/>
    <w:rsid w:val="001F17F9"/>
    <w:rsid w:val="001F1947"/>
    <w:rsid w:val="001F1C65"/>
    <w:rsid w:val="001F22C1"/>
    <w:rsid w:val="001F2E5E"/>
    <w:rsid w:val="001F4D1D"/>
    <w:rsid w:val="001F6920"/>
    <w:rsid w:val="001F79A3"/>
    <w:rsid w:val="001F7BA1"/>
    <w:rsid w:val="00200143"/>
    <w:rsid w:val="0020222D"/>
    <w:rsid w:val="002043BF"/>
    <w:rsid w:val="002060E3"/>
    <w:rsid w:val="00210883"/>
    <w:rsid w:val="00210A36"/>
    <w:rsid w:val="002116DE"/>
    <w:rsid w:val="00216130"/>
    <w:rsid w:val="00216D80"/>
    <w:rsid w:val="00222991"/>
    <w:rsid w:val="00223FC1"/>
    <w:rsid w:val="002241E3"/>
    <w:rsid w:val="00224B15"/>
    <w:rsid w:val="00225A7F"/>
    <w:rsid w:val="00227135"/>
    <w:rsid w:val="00230D43"/>
    <w:rsid w:val="00232251"/>
    <w:rsid w:val="0023267B"/>
    <w:rsid w:val="0023349B"/>
    <w:rsid w:val="00235DE0"/>
    <w:rsid w:val="00240790"/>
    <w:rsid w:val="002413FF"/>
    <w:rsid w:val="002414C3"/>
    <w:rsid w:val="0024154A"/>
    <w:rsid w:val="00242FF9"/>
    <w:rsid w:val="002433E7"/>
    <w:rsid w:val="00243AE8"/>
    <w:rsid w:val="00246D27"/>
    <w:rsid w:val="00250921"/>
    <w:rsid w:val="00251020"/>
    <w:rsid w:val="00253AA9"/>
    <w:rsid w:val="0025503F"/>
    <w:rsid w:val="00257397"/>
    <w:rsid w:val="00261A60"/>
    <w:rsid w:val="00261A8D"/>
    <w:rsid w:val="002627DC"/>
    <w:rsid w:val="00267A13"/>
    <w:rsid w:val="0027117F"/>
    <w:rsid w:val="00272EB6"/>
    <w:rsid w:val="002731E6"/>
    <w:rsid w:val="00274F68"/>
    <w:rsid w:val="00275F91"/>
    <w:rsid w:val="00277496"/>
    <w:rsid w:val="002838C4"/>
    <w:rsid w:val="00286A4A"/>
    <w:rsid w:val="00287A0F"/>
    <w:rsid w:val="0029153A"/>
    <w:rsid w:val="00291F84"/>
    <w:rsid w:val="00292C88"/>
    <w:rsid w:val="0029303B"/>
    <w:rsid w:val="002936F0"/>
    <w:rsid w:val="00293CC3"/>
    <w:rsid w:val="002A0482"/>
    <w:rsid w:val="002A0746"/>
    <w:rsid w:val="002A26E1"/>
    <w:rsid w:val="002A358B"/>
    <w:rsid w:val="002A3735"/>
    <w:rsid w:val="002A46FD"/>
    <w:rsid w:val="002A4CEB"/>
    <w:rsid w:val="002A5CC0"/>
    <w:rsid w:val="002A68C5"/>
    <w:rsid w:val="002A729A"/>
    <w:rsid w:val="002B0C28"/>
    <w:rsid w:val="002B104B"/>
    <w:rsid w:val="002B2612"/>
    <w:rsid w:val="002B3FF6"/>
    <w:rsid w:val="002B68A8"/>
    <w:rsid w:val="002B6E5E"/>
    <w:rsid w:val="002C104F"/>
    <w:rsid w:val="002C2E47"/>
    <w:rsid w:val="002C3DE2"/>
    <w:rsid w:val="002C66E0"/>
    <w:rsid w:val="002C69EE"/>
    <w:rsid w:val="002C6CCC"/>
    <w:rsid w:val="002D0EE2"/>
    <w:rsid w:val="002D1C73"/>
    <w:rsid w:val="002D1D69"/>
    <w:rsid w:val="002D7CB6"/>
    <w:rsid w:val="002E111C"/>
    <w:rsid w:val="002E4450"/>
    <w:rsid w:val="002F1394"/>
    <w:rsid w:val="002F21FB"/>
    <w:rsid w:val="002F5474"/>
    <w:rsid w:val="002F71AA"/>
    <w:rsid w:val="002F77AD"/>
    <w:rsid w:val="002F77B0"/>
    <w:rsid w:val="002F7FA8"/>
    <w:rsid w:val="003016F3"/>
    <w:rsid w:val="003019CA"/>
    <w:rsid w:val="00307646"/>
    <w:rsid w:val="003106DC"/>
    <w:rsid w:val="00311385"/>
    <w:rsid w:val="00311413"/>
    <w:rsid w:val="0031483A"/>
    <w:rsid w:val="00314C7B"/>
    <w:rsid w:val="00315384"/>
    <w:rsid w:val="00315AF0"/>
    <w:rsid w:val="00316BE6"/>
    <w:rsid w:val="00317228"/>
    <w:rsid w:val="00321C9D"/>
    <w:rsid w:val="003233C8"/>
    <w:rsid w:val="00324398"/>
    <w:rsid w:val="0032458B"/>
    <w:rsid w:val="003255F5"/>
    <w:rsid w:val="00327168"/>
    <w:rsid w:val="00327AC8"/>
    <w:rsid w:val="00331561"/>
    <w:rsid w:val="003316CD"/>
    <w:rsid w:val="003326F4"/>
    <w:rsid w:val="003339D0"/>
    <w:rsid w:val="00334E2F"/>
    <w:rsid w:val="00341F63"/>
    <w:rsid w:val="0034260A"/>
    <w:rsid w:val="003438A1"/>
    <w:rsid w:val="00346202"/>
    <w:rsid w:val="00346A0A"/>
    <w:rsid w:val="003471B7"/>
    <w:rsid w:val="00351D96"/>
    <w:rsid w:val="00352338"/>
    <w:rsid w:val="0035328D"/>
    <w:rsid w:val="0035696C"/>
    <w:rsid w:val="00356DDF"/>
    <w:rsid w:val="003570E2"/>
    <w:rsid w:val="00361561"/>
    <w:rsid w:val="003617ED"/>
    <w:rsid w:val="0036242A"/>
    <w:rsid w:val="003639FF"/>
    <w:rsid w:val="003642F0"/>
    <w:rsid w:val="00364A78"/>
    <w:rsid w:val="003657C2"/>
    <w:rsid w:val="003669B1"/>
    <w:rsid w:val="003679CF"/>
    <w:rsid w:val="003703C7"/>
    <w:rsid w:val="00372A4C"/>
    <w:rsid w:val="00373961"/>
    <w:rsid w:val="00373D42"/>
    <w:rsid w:val="00375BA7"/>
    <w:rsid w:val="00375EB6"/>
    <w:rsid w:val="00382601"/>
    <w:rsid w:val="00382AC9"/>
    <w:rsid w:val="003837A9"/>
    <w:rsid w:val="003837CE"/>
    <w:rsid w:val="00387C3B"/>
    <w:rsid w:val="003947F3"/>
    <w:rsid w:val="00396A3A"/>
    <w:rsid w:val="00397F48"/>
    <w:rsid w:val="003A0847"/>
    <w:rsid w:val="003A1485"/>
    <w:rsid w:val="003A17F5"/>
    <w:rsid w:val="003A3B2B"/>
    <w:rsid w:val="003A435B"/>
    <w:rsid w:val="003A4930"/>
    <w:rsid w:val="003A50C1"/>
    <w:rsid w:val="003A7B71"/>
    <w:rsid w:val="003A7F12"/>
    <w:rsid w:val="003B4A50"/>
    <w:rsid w:val="003B53C6"/>
    <w:rsid w:val="003B68BB"/>
    <w:rsid w:val="003C0EA6"/>
    <w:rsid w:val="003C1EED"/>
    <w:rsid w:val="003C2167"/>
    <w:rsid w:val="003C2295"/>
    <w:rsid w:val="003C24BA"/>
    <w:rsid w:val="003C36CF"/>
    <w:rsid w:val="003C3EA3"/>
    <w:rsid w:val="003C4031"/>
    <w:rsid w:val="003C42F4"/>
    <w:rsid w:val="003C4ABA"/>
    <w:rsid w:val="003C60C0"/>
    <w:rsid w:val="003D1B91"/>
    <w:rsid w:val="003D2432"/>
    <w:rsid w:val="003D73D6"/>
    <w:rsid w:val="003E3145"/>
    <w:rsid w:val="003E55B0"/>
    <w:rsid w:val="003E695A"/>
    <w:rsid w:val="003E69AA"/>
    <w:rsid w:val="003F07D9"/>
    <w:rsid w:val="003F2528"/>
    <w:rsid w:val="003F6331"/>
    <w:rsid w:val="00401241"/>
    <w:rsid w:val="00403555"/>
    <w:rsid w:val="004060FF"/>
    <w:rsid w:val="00406A92"/>
    <w:rsid w:val="00406AD2"/>
    <w:rsid w:val="0040727E"/>
    <w:rsid w:val="00410592"/>
    <w:rsid w:val="0041116D"/>
    <w:rsid w:val="00411E77"/>
    <w:rsid w:val="00412426"/>
    <w:rsid w:val="0041260B"/>
    <w:rsid w:val="0041485E"/>
    <w:rsid w:val="004149E1"/>
    <w:rsid w:val="004151D1"/>
    <w:rsid w:val="00415485"/>
    <w:rsid w:val="00415958"/>
    <w:rsid w:val="00417498"/>
    <w:rsid w:val="0042064D"/>
    <w:rsid w:val="0042276E"/>
    <w:rsid w:val="004227A8"/>
    <w:rsid w:val="00422EDA"/>
    <w:rsid w:val="00422EF4"/>
    <w:rsid w:val="00424911"/>
    <w:rsid w:val="00427921"/>
    <w:rsid w:val="00430785"/>
    <w:rsid w:val="00433F01"/>
    <w:rsid w:val="00434BF8"/>
    <w:rsid w:val="00436B81"/>
    <w:rsid w:val="00437F74"/>
    <w:rsid w:val="004401C8"/>
    <w:rsid w:val="004412D8"/>
    <w:rsid w:val="00441F68"/>
    <w:rsid w:val="00443CD9"/>
    <w:rsid w:val="004449A3"/>
    <w:rsid w:val="004463EF"/>
    <w:rsid w:val="00446C58"/>
    <w:rsid w:val="00447E1D"/>
    <w:rsid w:val="004513DE"/>
    <w:rsid w:val="00455B8D"/>
    <w:rsid w:val="00455DDF"/>
    <w:rsid w:val="00462DD4"/>
    <w:rsid w:val="004663C5"/>
    <w:rsid w:val="00466667"/>
    <w:rsid w:val="00466D0F"/>
    <w:rsid w:val="00467F05"/>
    <w:rsid w:val="00467F29"/>
    <w:rsid w:val="004708B5"/>
    <w:rsid w:val="0047169E"/>
    <w:rsid w:val="004720E4"/>
    <w:rsid w:val="0047362F"/>
    <w:rsid w:val="00473DFF"/>
    <w:rsid w:val="00474864"/>
    <w:rsid w:val="004802C7"/>
    <w:rsid w:val="00480300"/>
    <w:rsid w:val="00480377"/>
    <w:rsid w:val="00483DCC"/>
    <w:rsid w:val="00485A00"/>
    <w:rsid w:val="0049140B"/>
    <w:rsid w:val="00492ABA"/>
    <w:rsid w:val="00497BD4"/>
    <w:rsid w:val="004A0A82"/>
    <w:rsid w:val="004A2E0D"/>
    <w:rsid w:val="004A46E4"/>
    <w:rsid w:val="004A638B"/>
    <w:rsid w:val="004A6687"/>
    <w:rsid w:val="004A66FB"/>
    <w:rsid w:val="004A7545"/>
    <w:rsid w:val="004B126C"/>
    <w:rsid w:val="004B133A"/>
    <w:rsid w:val="004B6484"/>
    <w:rsid w:val="004B66F9"/>
    <w:rsid w:val="004B6820"/>
    <w:rsid w:val="004C0286"/>
    <w:rsid w:val="004C1559"/>
    <w:rsid w:val="004C1B1F"/>
    <w:rsid w:val="004C267D"/>
    <w:rsid w:val="004C3004"/>
    <w:rsid w:val="004C47A7"/>
    <w:rsid w:val="004C4970"/>
    <w:rsid w:val="004C50E1"/>
    <w:rsid w:val="004D04BD"/>
    <w:rsid w:val="004D1836"/>
    <w:rsid w:val="004D4717"/>
    <w:rsid w:val="004D64AF"/>
    <w:rsid w:val="004D6C39"/>
    <w:rsid w:val="004E0540"/>
    <w:rsid w:val="004E1A84"/>
    <w:rsid w:val="004E1FAE"/>
    <w:rsid w:val="004E53F1"/>
    <w:rsid w:val="004F0793"/>
    <w:rsid w:val="004F2051"/>
    <w:rsid w:val="004F232E"/>
    <w:rsid w:val="004F475A"/>
    <w:rsid w:val="004F5778"/>
    <w:rsid w:val="004F589A"/>
    <w:rsid w:val="00500861"/>
    <w:rsid w:val="00501855"/>
    <w:rsid w:val="0050185F"/>
    <w:rsid w:val="005040BF"/>
    <w:rsid w:val="00505F20"/>
    <w:rsid w:val="00510A8C"/>
    <w:rsid w:val="00514022"/>
    <w:rsid w:val="00514A9D"/>
    <w:rsid w:val="0052065E"/>
    <w:rsid w:val="00520937"/>
    <w:rsid w:val="00520B9D"/>
    <w:rsid w:val="005213D0"/>
    <w:rsid w:val="00525ACA"/>
    <w:rsid w:val="005300F3"/>
    <w:rsid w:val="005315DE"/>
    <w:rsid w:val="00536183"/>
    <w:rsid w:val="00540383"/>
    <w:rsid w:val="005420D5"/>
    <w:rsid w:val="005454FC"/>
    <w:rsid w:val="00546430"/>
    <w:rsid w:val="005474A2"/>
    <w:rsid w:val="0055072A"/>
    <w:rsid w:val="00552997"/>
    <w:rsid w:val="00552C76"/>
    <w:rsid w:val="00552E0C"/>
    <w:rsid w:val="005537A9"/>
    <w:rsid w:val="005542B8"/>
    <w:rsid w:val="00556A14"/>
    <w:rsid w:val="005605D6"/>
    <w:rsid w:val="005607EF"/>
    <w:rsid w:val="00560816"/>
    <w:rsid w:val="00561FF6"/>
    <w:rsid w:val="0056273C"/>
    <w:rsid w:val="00564011"/>
    <w:rsid w:val="0056612D"/>
    <w:rsid w:val="0057288D"/>
    <w:rsid w:val="005739E1"/>
    <w:rsid w:val="00574D8C"/>
    <w:rsid w:val="00583339"/>
    <w:rsid w:val="0058396D"/>
    <w:rsid w:val="00583C31"/>
    <w:rsid w:val="00584F3D"/>
    <w:rsid w:val="00585F2E"/>
    <w:rsid w:val="00586130"/>
    <w:rsid w:val="00586E0F"/>
    <w:rsid w:val="00591726"/>
    <w:rsid w:val="005941E8"/>
    <w:rsid w:val="0059488F"/>
    <w:rsid w:val="00595D0A"/>
    <w:rsid w:val="005960CA"/>
    <w:rsid w:val="00597322"/>
    <w:rsid w:val="005A0A10"/>
    <w:rsid w:val="005A14EF"/>
    <w:rsid w:val="005A1ADF"/>
    <w:rsid w:val="005A2E5B"/>
    <w:rsid w:val="005A3DB4"/>
    <w:rsid w:val="005A4E09"/>
    <w:rsid w:val="005A50C4"/>
    <w:rsid w:val="005A5388"/>
    <w:rsid w:val="005A7259"/>
    <w:rsid w:val="005A7DF5"/>
    <w:rsid w:val="005B386A"/>
    <w:rsid w:val="005B3CF4"/>
    <w:rsid w:val="005B43BE"/>
    <w:rsid w:val="005B6DBF"/>
    <w:rsid w:val="005B7741"/>
    <w:rsid w:val="005B7D46"/>
    <w:rsid w:val="005C1313"/>
    <w:rsid w:val="005C2E4D"/>
    <w:rsid w:val="005C3F62"/>
    <w:rsid w:val="005C491A"/>
    <w:rsid w:val="005C49B2"/>
    <w:rsid w:val="005C7428"/>
    <w:rsid w:val="005D030C"/>
    <w:rsid w:val="005D1227"/>
    <w:rsid w:val="005D15FD"/>
    <w:rsid w:val="005D1DEC"/>
    <w:rsid w:val="005D3076"/>
    <w:rsid w:val="005D483F"/>
    <w:rsid w:val="005D4BC0"/>
    <w:rsid w:val="005D6979"/>
    <w:rsid w:val="005E4C3E"/>
    <w:rsid w:val="005E514F"/>
    <w:rsid w:val="005E6DF8"/>
    <w:rsid w:val="005F0F11"/>
    <w:rsid w:val="005F2AE0"/>
    <w:rsid w:val="005F3E43"/>
    <w:rsid w:val="006002CC"/>
    <w:rsid w:val="00606673"/>
    <w:rsid w:val="0061188B"/>
    <w:rsid w:val="00611B73"/>
    <w:rsid w:val="00614036"/>
    <w:rsid w:val="0061655D"/>
    <w:rsid w:val="00617ECE"/>
    <w:rsid w:val="00620ADD"/>
    <w:rsid w:val="0062224D"/>
    <w:rsid w:val="00622FDE"/>
    <w:rsid w:val="00625068"/>
    <w:rsid w:val="00625BC1"/>
    <w:rsid w:val="006269B2"/>
    <w:rsid w:val="00626E99"/>
    <w:rsid w:val="006306DE"/>
    <w:rsid w:val="006310DA"/>
    <w:rsid w:val="006311E9"/>
    <w:rsid w:val="00634DE3"/>
    <w:rsid w:val="00635A39"/>
    <w:rsid w:val="00635ABD"/>
    <w:rsid w:val="00635EB8"/>
    <w:rsid w:val="00636AC9"/>
    <w:rsid w:val="00636EFE"/>
    <w:rsid w:val="00636F96"/>
    <w:rsid w:val="00637398"/>
    <w:rsid w:val="00640A59"/>
    <w:rsid w:val="00644E5A"/>
    <w:rsid w:val="00644FCD"/>
    <w:rsid w:val="006450CB"/>
    <w:rsid w:val="0064606F"/>
    <w:rsid w:val="0064668E"/>
    <w:rsid w:val="00646D37"/>
    <w:rsid w:val="00650F8B"/>
    <w:rsid w:val="00652069"/>
    <w:rsid w:val="00653434"/>
    <w:rsid w:val="00661E95"/>
    <w:rsid w:val="00663CDE"/>
    <w:rsid w:val="006657D7"/>
    <w:rsid w:val="0066783B"/>
    <w:rsid w:val="006709CA"/>
    <w:rsid w:val="00673827"/>
    <w:rsid w:val="00674DB4"/>
    <w:rsid w:val="006770BE"/>
    <w:rsid w:val="00682116"/>
    <w:rsid w:val="006831B7"/>
    <w:rsid w:val="00684DF1"/>
    <w:rsid w:val="00686526"/>
    <w:rsid w:val="00690A7E"/>
    <w:rsid w:val="00691427"/>
    <w:rsid w:val="006938E5"/>
    <w:rsid w:val="00695BE3"/>
    <w:rsid w:val="0069741D"/>
    <w:rsid w:val="006A08AD"/>
    <w:rsid w:val="006A1A2F"/>
    <w:rsid w:val="006A24F8"/>
    <w:rsid w:val="006A4B46"/>
    <w:rsid w:val="006B0C0D"/>
    <w:rsid w:val="006B1738"/>
    <w:rsid w:val="006B1F33"/>
    <w:rsid w:val="006B270C"/>
    <w:rsid w:val="006B365E"/>
    <w:rsid w:val="006B4294"/>
    <w:rsid w:val="006B557D"/>
    <w:rsid w:val="006B621F"/>
    <w:rsid w:val="006C0016"/>
    <w:rsid w:val="006C28C4"/>
    <w:rsid w:val="006C30BC"/>
    <w:rsid w:val="006C55A4"/>
    <w:rsid w:val="006C6CD7"/>
    <w:rsid w:val="006C7505"/>
    <w:rsid w:val="006D0852"/>
    <w:rsid w:val="006D2549"/>
    <w:rsid w:val="006D4245"/>
    <w:rsid w:val="006D4AC2"/>
    <w:rsid w:val="006D533B"/>
    <w:rsid w:val="006E2F7C"/>
    <w:rsid w:val="006E4810"/>
    <w:rsid w:val="006E4ACD"/>
    <w:rsid w:val="006E5223"/>
    <w:rsid w:val="006F01AF"/>
    <w:rsid w:val="006F0228"/>
    <w:rsid w:val="006F6043"/>
    <w:rsid w:val="007002A0"/>
    <w:rsid w:val="007003E4"/>
    <w:rsid w:val="00701A59"/>
    <w:rsid w:val="00702D93"/>
    <w:rsid w:val="0070592B"/>
    <w:rsid w:val="0070691D"/>
    <w:rsid w:val="007132C7"/>
    <w:rsid w:val="007147F1"/>
    <w:rsid w:val="00716018"/>
    <w:rsid w:val="0071747B"/>
    <w:rsid w:val="007211F0"/>
    <w:rsid w:val="007226C1"/>
    <w:rsid w:val="0072412E"/>
    <w:rsid w:val="007242FB"/>
    <w:rsid w:val="007252C9"/>
    <w:rsid w:val="00725578"/>
    <w:rsid w:val="00727619"/>
    <w:rsid w:val="00730A51"/>
    <w:rsid w:val="0073210D"/>
    <w:rsid w:val="00732287"/>
    <w:rsid w:val="00733306"/>
    <w:rsid w:val="007334EA"/>
    <w:rsid w:val="00733548"/>
    <w:rsid w:val="00736174"/>
    <w:rsid w:val="0073659F"/>
    <w:rsid w:val="00741405"/>
    <w:rsid w:val="00743A71"/>
    <w:rsid w:val="0074412E"/>
    <w:rsid w:val="0074565B"/>
    <w:rsid w:val="0075007C"/>
    <w:rsid w:val="00752E62"/>
    <w:rsid w:val="00753392"/>
    <w:rsid w:val="007542D4"/>
    <w:rsid w:val="00760DBD"/>
    <w:rsid w:val="00760E8B"/>
    <w:rsid w:val="00761E7E"/>
    <w:rsid w:val="00770CD9"/>
    <w:rsid w:val="0077261F"/>
    <w:rsid w:val="00772CEE"/>
    <w:rsid w:val="0077408D"/>
    <w:rsid w:val="00774A8E"/>
    <w:rsid w:val="00777B7B"/>
    <w:rsid w:val="00780029"/>
    <w:rsid w:val="007802BE"/>
    <w:rsid w:val="007823C8"/>
    <w:rsid w:val="00782522"/>
    <w:rsid w:val="007842D5"/>
    <w:rsid w:val="0078539B"/>
    <w:rsid w:val="007857F9"/>
    <w:rsid w:val="007860D7"/>
    <w:rsid w:val="007863D8"/>
    <w:rsid w:val="0078748D"/>
    <w:rsid w:val="00791AA7"/>
    <w:rsid w:val="0079295D"/>
    <w:rsid w:val="00797710"/>
    <w:rsid w:val="007A0F5A"/>
    <w:rsid w:val="007A1AFF"/>
    <w:rsid w:val="007B21B2"/>
    <w:rsid w:val="007B37DB"/>
    <w:rsid w:val="007B3BFD"/>
    <w:rsid w:val="007B51A9"/>
    <w:rsid w:val="007B7E63"/>
    <w:rsid w:val="007C0289"/>
    <w:rsid w:val="007C1DB1"/>
    <w:rsid w:val="007C213A"/>
    <w:rsid w:val="007C2488"/>
    <w:rsid w:val="007C2B30"/>
    <w:rsid w:val="007C3F84"/>
    <w:rsid w:val="007C682A"/>
    <w:rsid w:val="007D21D0"/>
    <w:rsid w:val="007D6FF2"/>
    <w:rsid w:val="007D756A"/>
    <w:rsid w:val="007D7C4A"/>
    <w:rsid w:val="007E07CA"/>
    <w:rsid w:val="007E214E"/>
    <w:rsid w:val="007E217E"/>
    <w:rsid w:val="007E3BA3"/>
    <w:rsid w:val="007E411C"/>
    <w:rsid w:val="007E4637"/>
    <w:rsid w:val="007F0E9B"/>
    <w:rsid w:val="007F1EBD"/>
    <w:rsid w:val="007F33C5"/>
    <w:rsid w:val="007F3457"/>
    <w:rsid w:val="007F7964"/>
    <w:rsid w:val="00806393"/>
    <w:rsid w:val="00806B73"/>
    <w:rsid w:val="008120D8"/>
    <w:rsid w:val="00812624"/>
    <w:rsid w:val="00812695"/>
    <w:rsid w:val="00812B19"/>
    <w:rsid w:val="00812D76"/>
    <w:rsid w:val="00813CDE"/>
    <w:rsid w:val="00816AB6"/>
    <w:rsid w:val="00817C8E"/>
    <w:rsid w:val="00820B52"/>
    <w:rsid w:val="00820CF5"/>
    <w:rsid w:val="00821D44"/>
    <w:rsid w:val="0082245E"/>
    <w:rsid w:val="00822B1F"/>
    <w:rsid w:val="00823A5F"/>
    <w:rsid w:val="00824F7B"/>
    <w:rsid w:val="00825306"/>
    <w:rsid w:val="00826456"/>
    <w:rsid w:val="00826D5E"/>
    <w:rsid w:val="00831D23"/>
    <w:rsid w:val="008322F8"/>
    <w:rsid w:val="00834137"/>
    <w:rsid w:val="00841931"/>
    <w:rsid w:val="0084209C"/>
    <w:rsid w:val="00842135"/>
    <w:rsid w:val="00843FD8"/>
    <w:rsid w:val="0084586E"/>
    <w:rsid w:val="00850C50"/>
    <w:rsid w:val="00850E51"/>
    <w:rsid w:val="00852A8F"/>
    <w:rsid w:val="0085516A"/>
    <w:rsid w:val="008606FE"/>
    <w:rsid w:val="00863B76"/>
    <w:rsid w:val="008644E2"/>
    <w:rsid w:val="00866A02"/>
    <w:rsid w:val="00867ED1"/>
    <w:rsid w:val="00870365"/>
    <w:rsid w:val="0087323E"/>
    <w:rsid w:val="008746C1"/>
    <w:rsid w:val="00875B4C"/>
    <w:rsid w:val="00880B8F"/>
    <w:rsid w:val="00881715"/>
    <w:rsid w:val="008821D0"/>
    <w:rsid w:val="0088469C"/>
    <w:rsid w:val="00885783"/>
    <w:rsid w:val="00892400"/>
    <w:rsid w:val="00894DEC"/>
    <w:rsid w:val="008A00B5"/>
    <w:rsid w:val="008A5A6E"/>
    <w:rsid w:val="008B01A9"/>
    <w:rsid w:val="008B2F95"/>
    <w:rsid w:val="008B32B8"/>
    <w:rsid w:val="008B4BB0"/>
    <w:rsid w:val="008B4F73"/>
    <w:rsid w:val="008C0482"/>
    <w:rsid w:val="008C39BC"/>
    <w:rsid w:val="008C3A7C"/>
    <w:rsid w:val="008C7C33"/>
    <w:rsid w:val="008D3006"/>
    <w:rsid w:val="008D4CB0"/>
    <w:rsid w:val="008D5E00"/>
    <w:rsid w:val="008D64ED"/>
    <w:rsid w:val="008D7D96"/>
    <w:rsid w:val="008E6030"/>
    <w:rsid w:val="008E63FE"/>
    <w:rsid w:val="008E64A6"/>
    <w:rsid w:val="008E6E78"/>
    <w:rsid w:val="008F360D"/>
    <w:rsid w:val="008F51A8"/>
    <w:rsid w:val="0090014F"/>
    <w:rsid w:val="00901E0F"/>
    <w:rsid w:val="009026A7"/>
    <w:rsid w:val="00904108"/>
    <w:rsid w:val="00910A42"/>
    <w:rsid w:val="00913FB2"/>
    <w:rsid w:val="0091655F"/>
    <w:rsid w:val="00920461"/>
    <w:rsid w:val="00921042"/>
    <w:rsid w:val="00921EF3"/>
    <w:rsid w:val="00923CD7"/>
    <w:rsid w:val="00924B41"/>
    <w:rsid w:val="009262EF"/>
    <w:rsid w:val="00927A18"/>
    <w:rsid w:val="0093010D"/>
    <w:rsid w:val="0093108C"/>
    <w:rsid w:val="0093432B"/>
    <w:rsid w:val="0093506B"/>
    <w:rsid w:val="00935A1A"/>
    <w:rsid w:val="00936A9B"/>
    <w:rsid w:val="00940616"/>
    <w:rsid w:val="00943E31"/>
    <w:rsid w:val="0095004D"/>
    <w:rsid w:val="009507C4"/>
    <w:rsid w:val="00951597"/>
    <w:rsid w:val="0095234D"/>
    <w:rsid w:val="009566F8"/>
    <w:rsid w:val="00957356"/>
    <w:rsid w:val="00962AED"/>
    <w:rsid w:val="00962ED3"/>
    <w:rsid w:val="00963253"/>
    <w:rsid w:val="00964D6D"/>
    <w:rsid w:val="00965B0D"/>
    <w:rsid w:val="00967DDD"/>
    <w:rsid w:val="00970293"/>
    <w:rsid w:val="0097358C"/>
    <w:rsid w:val="0097745D"/>
    <w:rsid w:val="009809E6"/>
    <w:rsid w:val="00980D89"/>
    <w:rsid w:val="009813A7"/>
    <w:rsid w:val="0098194F"/>
    <w:rsid w:val="00985B5D"/>
    <w:rsid w:val="00990093"/>
    <w:rsid w:val="0099291B"/>
    <w:rsid w:val="009933F3"/>
    <w:rsid w:val="009948A9"/>
    <w:rsid w:val="00994D47"/>
    <w:rsid w:val="0099555D"/>
    <w:rsid w:val="0099628E"/>
    <w:rsid w:val="0099713B"/>
    <w:rsid w:val="009A0201"/>
    <w:rsid w:val="009A2458"/>
    <w:rsid w:val="009A2BB0"/>
    <w:rsid w:val="009A4031"/>
    <w:rsid w:val="009A5AC0"/>
    <w:rsid w:val="009A7F78"/>
    <w:rsid w:val="009B3574"/>
    <w:rsid w:val="009B373D"/>
    <w:rsid w:val="009B478F"/>
    <w:rsid w:val="009B4F04"/>
    <w:rsid w:val="009B621D"/>
    <w:rsid w:val="009B63B0"/>
    <w:rsid w:val="009B6DA3"/>
    <w:rsid w:val="009C0FFF"/>
    <w:rsid w:val="009C1491"/>
    <w:rsid w:val="009C1BCC"/>
    <w:rsid w:val="009C25D4"/>
    <w:rsid w:val="009C2ECE"/>
    <w:rsid w:val="009C3AC6"/>
    <w:rsid w:val="009C5577"/>
    <w:rsid w:val="009C574A"/>
    <w:rsid w:val="009D44CC"/>
    <w:rsid w:val="009E040E"/>
    <w:rsid w:val="009E0AFC"/>
    <w:rsid w:val="009E273F"/>
    <w:rsid w:val="009E4E12"/>
    <w:rsid w:val="009E5228"/>
    <w:rsid w:val="009E5822"/>
    <w:rsid w:val="009E596D"/>
    <w:rsid w:val="009E5BFC"/>
    <w:rsid w:val="009E7076"/>
    <w:rsid w:val="009F0217"/>
    <w:rsid w:val="009F531E"/>
    <w:rsid w:val="009F68F0"/>
    <w:rsid w:val="009F788B"/>
    <w:rsid w:val="00A00404"/>
    <w:rsid w:val="00A00FA5"/>
    <w:rsid w:val="00A03EEA"/>
    <w:rsid w:val="00A04717"/>
    <w:rsid w:val="00A058AE"/>
    <w:rsid w:val="00A060EE"/>
    <w:rsid w:val="00A12A1C"/>
    <w:rsid w:val="00A1383C"/>
    <w:rsid w:val="00A13BD9"/>
    <w:rsid w:val="00A16E34"/>
    <w:rsid w:val="00A17D0D"/>
    <w:rsid w:val="00A20D78"/>
    <w:rsid w:val="00A2293B"/>
    <w:rsid w:val="00A22EA5"/>
    <w:rsid w:val="00A258A0"/>
    <w:rsid w:val="00A26D77"/>
    <w:rsid w:val="00A26E82"/>
    <w:rsid w:val="00A26F2D"/>
    <w:rsid w:val="00A30E9F"/>
    <w:rsid w:val="00A35A01"/>
    <w:rsid w:val="00A36993"/>
    <w:rsid w:val="00A37595"/>
    <w:rsid w:val="00A416E0"/>
    <w:rsid w:val="00A4374A"/>
    <w:rsid w:val="00A50652"/>
    <w:rsid w:val="00A50FDB"/>
    <w:rsid w:val="00A5185E"/>
    <w:rsid w:val="00A52050"/>
    <w:rsid w:val="00A520C2"/>
    <w:rsid w:val="00A52403"/>
    <w:rsid w:val="00A56BEC"/>
    <w:rsid w:val="00A602AD"/>
    <w:rsid w:val="00A67BD3"/>
    <w:rsid w:val="00A67FBB"/>
    <w:rsid w:val="00A701D1"/>
    <w:rsid w:val="00A70853"/>
    <w:rsid w:val="00A7091D"/>
    <w:rsid w:val="00A7096D"/>
    <w:rsid w:val="00A72EF9"/>
    <w:rsid w:val="00A7392C"/>
    <w:rsid w:val="00A7547F"/>
    <w:rsid w:val="00A80242"/>
    <w:rsid w:val="00A84AA1"/>
    <w:rsid w:val="00A85AC2"/>
    <w:rsid w:val="00A86AEE"/>
    <w:rsid w:val="00A86F69"/>
    <w:rsid w:val="00A90378"/>
    <w:rsid w:val="00A907DE"/>
    <w:rsid w:val="00A909E0"/>
    <w:rsid w:val="00A90A37"/>
    <w:rsid w:val="00A90D32"/>
    <w:rsid w:val="00A90DAB"/>
    <w:rsid w:val="00A913E8"/>
    <w:rsid w:val="00A922B3"/>
    <w:rsid w:val="00A92E69"/>
    <w:rsid w:val="00A949C5"/>
    <w:rsid w:val="00A94BAB"/>
    <w:rsid w:val="00A95783"/>
    <w:rsid w:val="00A95E4E"/>
    <w:rsid w:val="00A962C3"/>
    <w:rsid w:val="00A9689F"/>
    <w:rsid w:val="00A96A9D"/>
    <w:rsid w:val="00AA1D10"/>
    <w:rsid w:val="00AA35F4"/>
    <w:rsid w:val="00AA51BC"/>
    <w:rsid w:val="00AA76EB"/>
    <w:rsid w:val="00AB08FD"/>
    <w:rsid w:val="00AB1BD7"/>
    <w:rsid w:val="00AB2A9B"/>
    <w:rsid w:val="00AB7EB2"/>
    <w:rsid w:val="00AC01CE"/>
    <w:rsid w:val="00AC0635"/>
    <w:rsid w:val="00AC139A"/>
    <w:rsid w:val="00AC1804"/>
    <w:rsid w:val="00AC2CB7"/>
    <w:rsid w:val="00AC5762"/>
    <w:rsid w:val="00AC5E15"/>
    <w:rsid w:val="00AC6C3F"/>
    <w:rsid w:val="00AD0095"/>
    <w:rsid w:val="00AD1742"/>
    <w:rsid w:val="00AD3E5C"/>
    <w:rsid w:val="00AE07EE"/>
    <w:rsid w:val="00AE44A0"/>
    <w:rsid w:val="00AE655A"/>
    <w:rsid w:val="00AF2F60"/>
    <w:rsid w:val="00AF4FDB"/>
    <w:rsid w:val="00AF597A"/>
    <w:rsid w:val="00AF7265"/>
    <w:rsid w:val="00AF7C68"/>
    <w:rsid w:val="00B00E61"/>
    <w:rsid w:val="00B01924"/>
    <w:rsid w:val="00B01D1C"/>
    <w:rsid w:val="00B021AA"/>
    <w:rsid w:val="00B0295E"/>
    <w:rsid w:val="00B02C93"/>
    <w:rsid w:val="00B03036"/>
    <w:rsid w:val="00B04642"/>
    <w:rsid w:val="00B13000"/>
    <w:rsid w:val="00B14070"/>
    <w:rsid w:val="00B14C74"/>
    <w:rsid w:val="00B212C6"/>
    <w:rsid w:val="00B21813"/>
    <w:rsid w:val="00B22537"/>
    <w:rsid w:val="00B24192"/>
    <w:rsid w:val="00B26898"/>
    <w:rsid w:val="00B270E9"/>
    <w:rsid w:val="00B27784"/>
    <w:rsid w:val="00B3281D"/>
    <w:rsid w:val="00B330DC"/>
    <w:rsid w:val="00B33EC7"/>
    <w:rsid w:val="00B34E86"/>
    <w:rsid w:val="00B3551C"/>
    <w:rsid w:val="00B35F81"/>
    <w:rsid w:val="00B40FB8"/>
    <w:rsid w:val="00B40FFB"/>
    <w:rsid w:val="00B431A5"/>
    <w:rsid w:val="00B433FE"/>
    <w:rsid w:val="00B44D57"/>
    <w:rsid w:val="00B44E7B"/>
    <w:rsid w:val="00B458E9"/>
    <w:rsid w:val="00B46274"/>
    <w:rsid w:val="00B46BE6"/>
    <w:rsid w:val="00B478CB"/>
    <w:rsid w:val="00B505C7"/>
    <w:rsid w:val="00B5185B"/>
    <w:rsid w:val="00B5204E"/>
    <w:rsid w:val="00B523EF"/>
    <w:rsid w:val="00B532E5"/>
    <w:rsid w:val="00B56A7B"/>
    <w:rsid w:val="00B6145B"/>
    <w:rsid w:val="00B64621"/>
    <w:rsid w:val="00B64C86"/>
    <w:rsid w:val="00B65E4A"/>
    <w:rsid w:val="00B66B87"/>
    <w:rsid w:val="00B71E1D"/>
    <w:rsid w:val="00B73C32"/>
    <w:rsid w:val="00B75FCC"/>
    <w:rsid w:val="00B775C2"/>
    <w:rsid w:val="00B77B47"/>
    <w:rsid w:val="00B77D1F"/>
    <w:rsid w:val="00B82955"/>
    <w:rsid w:val="00B84E71"/>
    <w:rsid w:val="00B86AC4"/>
    <w:rsid w:val="00B87516"/>
    <w:rsid w:val="00BA35A8"/>
    <w:rsid w:val="00BB1026"/>
    <w:rsid w:val="00BB151B"/>
    <w:rsid w:val="00BB2587"/>
    <w:rsid w:val="00BB5E3B"/>
    <w:rsid w:val="00BB608E"/>
    <w:rsid w:val="00BC0004"/>
    <w:rsid w:val="00BC0885"/>
    <w:rsid w:val="00BC0FB9"/>
    <w:rsid w:val="00BC13CA"/>
    <w:rsid w:val="00BC2C34"/>
    <w:rsid w:val="00BC3220"/>
    <w:rsid w:val="00BC3830"/>
    <w:rsid w:val="00BC3CA8"/>
    <w:rsid w:val="00BC4F2C"/>
    <w:rsid w:val="00BC6179"/>
    <w:rsid w:val="00BD37E1"/>
    <w:rsid w:val="00BE125A"/>
    <w:rsid w:val="00BE3125"/>
    <w:rsid w:val="00BE417A"/>
    <w:rsid w:val="00BE4523"/>
    <w:rsid w:val="00BE536E"/>
    <w:rsid w:val="00BE64EA"/>
    <w:rsid w:val="00BE6B61"/>
    <w:rsid w:val="00BF49F6"/>
    <w:rsid w:val="00BF4D30"/>
    <w:rsid w:val="00BF727D"/>
    <w:rsid w:val="00C0010A"/>
    <w:rsid w:val="00C011CA"/>
    <w:rsid w:val="00C02856"/>
    <w:rsid w:val="00C050FB"/>
    <w:rsid w:val="00C05424"/>
    <w:rsid w:val="00C06F6F"/>
    <w:rsid w:val="00C07B03"/>
    <w:rsid w:val="00C101DC"/>
    <w:rsid w:val="00C10CEE"/>
    <w:rsid w:val="00C11503"/>
    <w:rsid w:val="00C14A1B"/>
    <w:rsid w:val="00C16862"/>
    <w:rsid w:val="00C222DD"/>
    <w:rsid w:val="00C23E28"/>
    <w:rsid w:val="00C23F5B"/>
    <w:rsid w:val="00C240C2"/>
    <w:rsid w:val="00C260AF"/>
    <w:rsid w:val="00C26EC0"/>
    <w:rsid w:val="00C27562"/>
    <w:rsid w:val="00C2781C"/>
    <w:rsid w:val="00C3118A"/>
    <w:rsid w:val="00C31530"/>
    <w:rsid w:val="00C34B83"/>
    <w:rsid w:val="00C34DE2"/>
    <w:rsid w:val="00C34E2F"/>
    <w:rsid w:val="00C35365"/>
    <w:rsid w:val="00C36B6F"/>
    <w:rsid w:val="00C372C6"/>
    <w:rsid w:val="00C428F2"/>
    <w:rsid w:val="00C43ABA"/>
    <w:rsid w:val="00C43EF8"/>
    <w:rsid w:val="00C43F4A"/>
    <w:rsid w:val="00C457CC"/>
    <w:rsid w:val="00C45BA3"/>
    <w:rsid w:val="00C546B3"/>
    <w:rsid w:val="00C56567"/>
    <w:rsid w:val="00C6048D"/>
    <w:rsid w:val="00C63B5D"/>
    <w:rsid w:val="00C700F6"/>
    <w:rsid w:val="00C70454"/>
    <w:rsid w:val="00C7051C"/>
    <w:rsid w:val="00C75797"/>
    <w:rsid w:val="00C81731"/>
    <w:rsid w:val="00C82C00"/>
    <w:rsid w:val="00C83DD0"/>
    <w:rsid w:val="00C84188"/>
    <w:rsid w:val="00C9026C"/>
    <w:rsid w:val="00C902D9"/>
    <w:rsid w:val="00C903F5"/>
    <w:rsid w:val="00C92E05"/>
    <w:rsid w:val="00C958D3"/>
    <w:rsid w:val="00C96561"/>
    <w:rsid w:val="00C96C63"/>
    <w:rsid w:val="00C96DF6"/>
    <w:rsid w:val="00CA07B0"/>
    <w:rsid w:val="00CA134D"/>
    <w:rsid w:val="00CA14D5"/>
    <w:rsid w:val="00CA37AA"/>
    <w:rsid w:val="00CA5284"/>
    <w:rsid w:val="00CA7174"/>
    <w:rsid w:val="00CB449F"/>
    <w:rsid w:val="00CB4890"/>
    <w:rsid w:val="00CB6DAF"/>
    <w:rsid w:val="00CC1059"/>
    <w:rsid w:val="00CC15E4"/>
    <w:rsid w:val="00CC311F"/>
    <w:rsid w:val="00CC3F76"/>
    <w:rsid w:val="00CC72D5"/>
    <w:rsid w:val="00CC738A"/>
    <w:rsid w:val="00CC7F7C"/>
    <w:rsid w:val="00CD28D3"/>
    <w:rsid w:val="00CD777D"/>
    <w:rsid w:val="00CE072B"/>
    <w:rsid w:val="00CE0C53"/>
    <w:rsid w:val="00CE1330"/>
    <w:rsid w:val="00CE145B"/>
    <w:rsid w:val="00CE2628"/>
    <w:rsid w:val="00CE7F92"/>
    <w:rsid w:val="00CF46A1"/>
    <w:rsid w:val="00CF51CC"/>
    <w:rsid w:val="00CF590C"/>
    <w:rsid w:val="00CF6186"/>
    <w:rsid w:val="00CF6E6D"/>
    <w:rsid w:val="00D00A10"/>
    <w:rsid w:val="00D00C2E"/>
    <w:rsid w:val="00D02902"/>
    <w:rsid w:val="00D03AA0"/>
    <w:rsid w:val="00D041BB"/>
    <w:rsid w:val="00D04B83"/>
    <w:rsid w:val="00D04BD0"/>
    <w:rsid w:val="00D10A69"/>
    <w:rsid w:val="00D14801"/>
    <w:rsid w:val="00D1677E"/>
    <w:rsid w:val="00D16BFA"/>
    <w:rsid w:val="00D175E0"/>
    <w:rsid w:val="00D2235C"/>
    <w:rsid w:val="00D224DF"/>
    <w:rsid w:val="00D23779"/>
    <w:rsid w:val="00D2389A"/>
    <w:rsid w:val="00D23F86"/>
    <w:rsid w:val="00D248FF"/>
    <w:rsid w:val="00D24AFE"/>
    <w:rsid w:val="00D26868"/>
    <w:rsid w:val="00D2714F"/>
    <w:rsid w:val="00D273D0"/>
    <w:rsid w:val="00D307A6"/>
    <w:rsid w:val="00D30F91"/>
    <w:rsid w:val="00D32330"/>
    <w:rsid w:val="00D35ED3"/>
    <w:rsid w:val="00D378DE"/>
    <w:rsid w:val="00D42535"/>
    <w:rsid w:val="00D4366C"/>
    <w:rsid w:val="00D4741F"/>
    <w:rsid w:val="00D47A33"/>
    <w:rsid w:val="00D50A75"/>
    <w:rsid w:val="00D50BFE"/>
    <w:rsid w:val="00D54656"/>
    <w:rsid w:val="00D55356"/>
    <w:rsid w:val="00D56D72"/>
    <w:rsid w:val="00D5778A"/>
    <w:rsid w:val="00D62642"/>
    <w:rsid w:val="00D65F74"/>
    <w:rsid w:val="00D67006"/>
    <w:rsid w:val="00D7122A"/>
    <w:rsid w:val="00D7451B"/>
    <w:rsid w:val="00D76150"/>
    <w:rsid w:val="00D76290"/>
    <w:rsid w:val="00D77879"/>
    <w:rsid w:val="00D835BA"/>
    <w:rsid w:val="00D83990"/>
    <w:rsid w:val="00D861DD"/>
    <w:rsid w:val="00D9035A"/>
    <w:rsid w:val="00D90AC6"/>
    <w:rsid w:val="00D927C5"/>
    <w:rsid w:val="00D928F8"/>
    <w:rsid w:val="00D932F8"/>
    <w:rsid w:val="00D93532"/>
    <w:rsid w:val="00D97CA9"/>
    <w:rsid w:val="00DA0550"/>
    <w:rsid w:val="00DA1323"/>
    <w:rsid w:val="00DA1C0F"/>
    <w:rsid w:val="00DA3C80"/>
    <w:rsid w:val="00DA639F"/>
    <w:rsid w:val="00DB0530"/>
    <w:rsid w:val="00DB16DB"/>
    <w:rsid w:val="00DB29D4"/>
    <w:rsid w:val="00DB2C08"/>
    <w:rsid w:val="00DB4C77"/>
    <w:rsid w:val="00DB4E68"/>
    <w:rsid w:val="00DC04DD"/>
    <w:rsid w:val="00DC2602"/>
    <w:rsid w:val="00DC2AAE"/>
    <w:rsid w:val="00DC3172"/>
    <w:rsid w:val="00DC5738"/>
    <w:rsid w:val="00DC657C"/>
    <w:rsid w:val="00DD1882"/>
    <w:rsid w:val="00DD20AA"/>
    <w:rsid w:val="00DD590E"/>
    <w:rsid w:val="00DD5F45"/>
    <w:rsid w:val="00DE09E3"/>
    <w:rsid w:val="00DE1ADF"/>
    <w:rsid w:val="00DE346F"/>
    <w:rsid w:val="00DE419B"/>
    <w:rsid w:val="00DE65BE"/>
    <w:rsid w:val="00DF0DEC"/>
    <w:rsid w:val="00DF113A"/>
    <w:rsid w:val="00DF55E9"/>
    <w:rsid w:val="00DF5838"/>
    <w:rsid w:val="00DF5A01"/>
    <w:rsid w:val="00DF6C1C"/>
    <w:rsid w:val="00E00369"/>
    <w:rsid w:val="00E02CB7"/>
    <w:rsid w:val="00E0484C"/>
    <w:rsid w:val="00E06953"/>
    <w:rsid w:val="00E10365"/>
    <w:rsid w:val="00E10462"/>
    <w:rsid w:val="00E1179E"/>
    <w:rsid w:val="00E12171"/>
    <w:rsid w:val="00E15892"/>
    <w:rsid w:val="00E1760F"/>
    <w:rsid w:val="00E204FD"/>
    <w:rsid w:val="00E206F9"/>
    <w:rsid w:val="00E208AE"/>
    <w:rsid w:val="00E22387"/>
    <w:rsid w:val="00E225F6"/>
    <w:rsid w:val="00E23835"/>
    <w:rsid w:val="00E26605"/>
    <w:rsid w:val="00E26AA8"/>
    <w:rsid w:val="00E26BD8"/>
    <w:rsid w:val="00E30FEB"/>
    <w:rsid w:val="00E31E18"/>
    <w:rsid w:val="00E321B0"/>
    <w:rsid w:val="00E3281D"/>
    <w:rsid w:val="00E33B4F"/>
    <w:rsid w:val="00E33C10"/>
    <w:rsid w:val="00E37A8F"/>
    <w:rsid w:val="00E40FB8"/>
    <w:rsid w:val="00E4300A"/>
    <w:rsid w:val="00E43DD5"/>
    <w:rsid w:val="00E44309"/>
    <w:rsid w:val="00E47C67"/>
    <w:rsid w:val="00E52D8E"/>
    <w:rsid w:val="00E56456"/>
    <w:rsid w:val="00E56D6F"/>
    <w:rsid w:val="00E62887"/>
    <w:rsid w:val="00E660B2"/>
    <w:rsid w:val="00E66E2C"/>
    <w:rsid w:val="00E701A3"/>
    <w:rsid w:val="00E706B8"/>
    <w:rsid w:val="00E748E9"/>
    <w:rsid w:val="00E7545E"/>
    <w:rsid w:val="00E7677E"/>
    <w:rsid w:val="00E804B8"/>
    <w:rsid w:val="00E81E93"/>
    <w:rsid w:val="00E83B6F"/>
    <w:rsid w:val="00E854FE"/>
    <w:rsid w:val="00E87408"/>
    <w:rsid w:val="00E91337"/>
    <w:rsid w:val="00E91BC6"/>
    <w:rsid w:val="00E96264"/>
    <w:rsid w:val="00E965B8"/>
    <w:rsid w:val="00E97284"/>
    <w:rsid w:val="00EA45BA"/>
    <w:rsid w:val="00EA5248"/>
    <w:rsid w:val="00EB08EA"/>
    <w:rsid w:val="00EB2334"/>
    <w:rsid w:val="00EB2A6B"/>
    <w:rsid w:val="00EB3BD7"/>
    <w:rsid w:val="00EB5CC3"/>
    <w:rsid w:val="00EC0DFE"/>
    <w:rsid w:val="00EC1413"/>
    <w:rsid w:val="00EC14CA"/>
    <w:rsid w:val="00EC3552"/>
    <w:rsid w:val="00EC4787"/>
    <w:rsid w:val="00EC5BE3"/>
    <w:rsid w:val="00ED04DE"/>
    <w:rsid w:val="00ED49C7"/>
    <w:rsid w:val="00ED5153"/>
    <w:rsid w:val="00ED51B4"/>
    <w:rsid w:val="00ED5783"/>
    <w:rsid w:val="00EE1E45"/>
    <w:rsid w:val="00EE1F5A"/>
    <w:rsid w:val="00EF1072"/>
    <w:rsid w:val="00EF26FC"/>
    <w:rsid w:val="00EF592B"/>
    <w:rsid w:val="00EF7690"/>
    <w:rsid w:val="00F01153"/>
    <w:rsid w:val="00F04B7B"/>
    <w:rsid w:val="00F04ECD"/>
    <w:rsid w:val="00F064D3"/>
    <w:rsid w:val="00F07384"/>
    <w:rsid w:val="00F074C3"/>
    <w:rsid w:val="00F13BB1"/>
    <w:rsid w:val="00F13CC7"/>
    <w:rsid w:val="00F13E4A"/>
    <w:rsid w:val="00F14FEF"/>
    <w:rsid w:val="00F166D6"/>
    <w:rsid w:val="00F20653"/>
    <w:rsid w:val="00F223C6"/>
    <w:rsid w:val="00F24353"/>
    <w:rsid w:val="00F244C1"/>
    <w:rsid w:val="00F25C9C"/>
    <w:rsid w:val="00F323EA"/>
    <w:rsid w:val="00F34914"/>
    <w:rsid w:val="00F35621"/>
    <w:rsid w:val="00F356A8"/>
    <w:rsid w:val="00F366E5"/>
    <w:rsid w:val="00F36AE3"/>
    <w:rsid w:val="00F37E67"/>
    <w:rsid w:val="00F42150"/>
    <w:rsid w:val="00F43D18"/>
    <w:rsid w:val="00F44E95"/>
    <w:rsid w:val="00F47450"/>
    <w:rsid w:val="00F534B3"/>
    <w:rsid w:val="00F55A25"/>
    <w:rsid w:val="00F56988"/>
    <w:rsid w:val="00F56A2C"/>
    <w:rsid w:val="00F56B95"/>
    <w:rsid w:val="00F57F49"/>
    <w:rsid w:val="00F6537F"/>
    <w:rsid w:val="00F653AE"/>
    <w:rsid w:val="00F654C1"/>
    <w:rsid w:val="00F71BF1"/>
    <w:rsid w:val="00F75C1D"/>
    <w:rsid w:val="00F829F0"/>
    <w:rsid w:val="00F84053"/>
    <w:rsid w:val="00F852B3"/>
    <w:rsid w:val="00F858BF"/>
    <w:rsid w:val="00F90096"/>
    <w:rsid w:val="00F934B4"/>
    <w:rsid w:val="00F93DF9"/>
    <w:rsid w:val="00F94FE6"/>
    <w:rsid w:val="00F95E40"/>
    <w:rsid w:val="00FA17AA"/>
    <w:rsid w:val="00FA3DD7"/>
    <w:rsid w:val="00FA619F"/>
    <w:rsid w:val="00FA6C5D"/>
    <w:rsid w:val="00FA76E5"/>
    <w:rsid w:val="00FB01B8"/>
    <w:rsid w:val="00FB2E30"/>
    <w:rsid w:val="00FC2C60"/>
    <w:rsid w:val="00FC541F"/>
    <w:rsid w:val="00FC5E3D"/>
    <w:rsid w:val="00FC673F"/>
    <w:rsid w:val="00FD0AA1"/>
    <w:rsid w:val="00FD0D4A"/>
    <w:rsid w:val="00FD0E47"/>
    <w:rsid w:val="00FD6489"/>
    <w:rsid w:val="00FE1B41"/>
    <w:rsid w:val="00FE25A2"/>
    <w:rsid w:val="00FE304E"/>
    <w:rsid w:val="00FE519D"/>
    <w:rsid w:val="00FF06BF"/>
    <w:rsid w:val="00FF0708"/>
    <w:rsid w:val="00FF1061"/>
    <w:rsid w:val="00FF1D2A"/>
    <w:rsid w:val="00FF4CB1"/>
    <w:rsid w:val="00FF5191"/>
    <w:rsid w:val="00FF5352"/>
    <w:rsid w:val="00FF60CE"/>
    <w:rsid w:val="00FF65F5"/>
    <w:rsid w:val="0265E80B"/>
    <w:rsid w:val="03224421"/>
    <w:rsid w:val="054EF49B"/>
    <w:rsid w:val="05A91D08"/>
    <w:rsid w:val="05C83947"/>
    <w:rsid w:val="07809F47"/>
    <w:rsid w:val="0783C6A9"/>
    <w:rsid w:val="0C76EF6D"/>
    <w:rsid w:val="0E673FB8"/>
    <w:rsid w:val="110AFAC6"/>
    <w:rsid w:val="11D18CE3"/>
    <w:rsid w:val="11E5BE2D"/>
    <w:rsid w:val="13267387"/>
    <w:rsid w:val="14258E56"/>
    <w:rsid w:val="14BD48EB"/>
    <w:rsid w:val="16F7B8D3"/>
    <w:rsid w:val="1732E8AF"/>
    <w:rsid w:val="179453A5"/>
    <w:rsid w:val="17B04F87"/>
    <w:rsid w:val="181C015A"/>
    <w:rsid w:val="184D44FC"/>
    <w:rsid w:val="1922F00B"/>
    <w:rsid w:val="1961855F"/>
    <w:rsid w:val="19EF55E2"/>
    <w:rsid w:val="1A471897"/>
    <w:rsid w:val="1AE00FFF"/>
    <w:rsid w:val="1BC7DC89"/>
    <w:rsid w:val="1BC81645"/>
    <w:rsid w:val="1C2EEC65"/>
    <w:rsid w:val="1C6313BE"/>
    <w:rsid w:val="1CED419E"/>
    <w:rsid w:val="1D3FE3A0"/>
    <w:rsid w:val="20545600"/>
    <w:rsid w:val="21139FB6"/>
    <w:rsid w:val="2162D8E8"/>
    <w:rsid w:val="22FFC100"/>
    <w:rsid w:val="231236E7"/>
    <w:rsid w:val="2447E6F4"/>
    <w:rsid w:val="24B072ED"/>
    <w:rsid w:val="25AD42FE"/>
    <w:rsid w:val="25C29A9B"/>
    <w:rsid w:val="264CCE5B"/>
    <w:rsid w:val="2699074C"/>
    <w:rsid w:val="26F3E240"/>
    <w:rsid w:val="2813A47F"/>
    <w:rsid w:val="29492D92"/>
    <w:rsid w:val="2AD13B90"/>
    <w:rsid w:val="2BD62614"/>
    <w:rsid w:val="2BECEC40"/>
    <w:rsid w:val="2C125ADC"/>
    <w:rsid w:val="2DFB417A"/>
    <w:rsid w:val="2E3EBCA5"/>
    <w:rsid w:val="2F0195AB"/>
    <w:rsid w:val="2F1347F9"/>
    <w:rsid w:val="309AAEDF"/>
    <w:rsid w:val="3228344E"/>
    <w:rsid w:val="3228A943"/>
    <w:rsid w:val="322F2932"/>
    <w:rsid w:val="32AD8849"/>
    <w:rsid w:val="333220AB"/>
    <w:rsid w:val="3350B3F0"/>
    <w:rsid w:val="34CE9697"/>
    <w:rsid w:val="35BCEC12"/>
    <w:rsid w:val="36A8417F"/>
    <w:rsid w:val="38D7135D"/>
    <w:rsid w:val="3955ED8E"/>
    <w:rsid w:val="3C39C356"/>
    <w:rsid w:val="3C79B9B4"/>
    <w:rsid w:val="3D311A5A"/>
    <w:rsid w:val="3D33A380"/>
    <w:rsid w:val="3DBBCAF6"/>
    <w:rsid w:val="3E0C824F"/>
    <w:rsid w:val="3E67B9CE"/>
    <w:rsid w:val="3EDF1058"/>
    <w:rsid w:val="3F19F290"/>
    <w:rsid w:val="3F5CB7B3"/>
    <w:rsid w:val="3F9DFEE2"/>
    <w:rsid w:val="3FFAC686"/>
    <w:rsid w:val="40B47ED2"/>
    <w:rsid w:val="420D6D97"/>
    <w:rsid w:val="4251D869"/>
    <w:rsid w:val="439EB07E"/>
    <w:rsid w:val="453E47E3"/>
    <w:rsid w:val="473480CA"/>
    <w:rsid w:val="478C91CF"/>
    <w:rsid w:val="48C27053"/>
    <w:rsid w:val="490EEF26"/>
    <w:rsid w:val="4928625F"/>
    <w:rsid w:val="4A4085CB"/>
    <w:rsid w:val="4A9F46BB"/>
    <w:rsid w:val="4BBCDFB6"/>
    <w:rsid w:val="4E5A1636"/>
    <w:rsid w:val="4ECAAAEF"/>
    <w:rsid w:val="4EFBFD81"/>
    <w:rsid w:val="4F3EAA49"/>
    <w:rsid w:val="504658BB"/>
    <w:rsid w:val="5050470F"/>
    <w:rsid w:val="50756557"/>
    <w:rsid w:val="51111DB0"/>
    <w:rsid w:val="511B8051"/>
    <w:rsid w:val="5191B6F8"/>
    <w:rsid w:val="53DF8661"/>
    <w:rsid w:val="5405DD20"/>
    <w:rsid w:val="557DA4F0"/>
    <w:rsid w:val="55E84463"/>
    <w:rsid w:val="575BAD95"/>
    <w:rsid w:val="5871A3B7"/>
    <w:rsid w:val="5960508A"/>
    <w:rsid w:val="5A51349C"/>
    <w:rsid w:val="5A531E5D"/>
    <w:rsid w:val="5A5BCCAE"/>
    <w:rsid w:val="5A8F6745"/>
    <w:rsid w:val="5B6B9AC2"/>
    <w:rsid w:val="5B86B77E"/>
    <w:rsid w:val="5B91D83B"/>
    <w:rsid w:val="5C26BFB5"/>
    <w:rsid w:val="5C731F35"/>
    <w:rsid w:val="5C8BDC25"/>
    <w:rsid w:val="5EBA0FB6"/>
    <w:rsid w:val="5F224715"/>
    <w:rsid w:val="5FE5E7B9"/>
    <w:rsid w:val="61196E34"/>
    <w:rsid w:val="62754BCB"/>
    <w:rsid w:val="62FADD20"/>
    <w:rsid w:val="642DAB4E"/>
    <w:rsid w:val="65862D81"/>
    <w:rsid w:val="667D451E"/>
    <w:rsid w:val="66D5A7D1"/>
    <w:rsid w:val="66EF314B"/>
    <w:rsid w:val="674A10E7"/>
    <w:rsid w:val="6757EA8F"/>
    <w:rsid w:val="68D2828F"/>
    <w:rsid w:val="6976A7C4"/>
    <w:rsid w:val="6A27D97B"/>
    <w:rsid w:val="6AF4A55A"/>
    <w:rsid w:val="6B9188E8"/>
    <w:rsid w:val="6D7AB845"/>
    <w:rsid w:val="6D7B39DD"/>
    <w:rsid w:val="6DA16362"/>
    <w:rsid w:val="6E09FC40"/>
    <w:rsid w:val="6E422C43"/>
    <w:rsid w:val="6E8BED70"/>
    <w:rsid w:val="6EC81586"/>
    <w:rsid w:val="703FB73E"/>
    <w:rsid w:val="718D5AF1"/>
    <w:rsid w:val="71A88313"/>
    <w:rsid w:val="72173042"/>
    <w:rsid w:val="723D0A87"/>
    <w:rsid w:val="72AC3038"/>
    <w:rsid w:val="73316FCD"/>
    <w:rsid w:val="7435CB44"/>
    <w:rsid w:val="74CD402E"/>
    <w:rsid w:val="7520C581"/>
    <w:rsid w:val="75F0A159"/>
    <w:rsid w:val="763298BE"/>
    <w:rsid w:val="76DC2915"/>
    <w:rsid w:val="7789E3E2"/>
    <w:rsid w:val="78E23332"/>
    <w:rsid w:val="797C71D7"/>
    <w:rsid w:val="7ACF749C"/>
    <w:rsid w:val="7AD77C73"/>
    <w:rsid w:val="7B212EC9"/>
    <w:rsid w:val="7C6D7604"/>
    <w:rsid w:val="7CD6F8C8"/>
    <w:rsid w:val="7CDD17AD"/>
    <w:rsid w:val="7E0F07E1"/>
    <w:rsid w:val="7E9269FA"/>
    <w:rsid w:val="7F528BC6"/>
    <w:rsid w:val="7F738A8E"/>
    <w:rsid w:val="7F9896B4"/>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7B97EE"/>
  <w15:chartTrackingRefBased/>
  <w15:docId w15:val="{9265CF8A-6FDD-4B25-82EA-CC3BE15B16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24551"/>
  </w:style>
  <w:style w:type="paragraph" w:styleId="Titolo1">
    <w:name w:val="heading 1"/>
    <w:basedOn w:val="Normale"/>
    <w:next w:val="Normale"/>
    <w:link w:val="Titolo1Carattere"/>
    <w:uiPriority w:val="9"/>
    <w:qFormat/>
    <w:rsid w:val="00D0290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9E707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CF618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CF6186"/>
  </w:style>
  <w:style w:type="paragraph" w:styleId="Pidipagina">
    <w:name w:val="footer"/>
    <w:basedOn w:val="Normale"/>
    <w:link w:val="PidipaginaCarattere"/>
    <w:uiPriority w:val="99"/>
    <w:unhideWhenUsed/>
    <w:rsid w:val="00CF618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CF6186"/>
  </w:style>
  <w:style w:type="character" w:styleId="Testosegnaposto">
    <w:name w:val="Placeholder Text"/>
    <w:basedOn w:val="Carpredefinitoparagrafo"/>
    <w:uiPriority w:val="99"/>
    <w:semiHidden/>
    <w:rsid w:val="004C0286"/>
    <w:rPr>
      <w:color w:val="808080"/>
    </w:rPr>
  </w:style>
  <w:style w:type="paragraph" w:styleId="Paragrafoelenco">
    <w:name w:val="List Paragraph"/>
    <w:basedOn w:val="Normale"/>
    <w:uiPriority w:val="34"/>
    <w:qFormat/>
    <w:rsid w:val="0049140B"/>
    <w:pPr>
      <w:ind w:left="720"/>
      <w:contextualSpacing/>
    </w:pPr>
  </w:style>
  <w:style w:type="character" w:styleId="Collegamentoipertestuale">
    <w:name w:val="Hyperlink"/>
    <w:basedOn w:val="Carpredefinitoparagrafo"/>
    <w:uiPriority w:val="99"/>
    <w:unhideWhenUsed/>
    <w:rsid w:val="00DD5F45"/>
    <w:rPr>
      <w:color w:val="0563C1" w:themeColor="hyperlink"/>
      <w:u w:val="single"/>
    </w:rPr>
  </w:style>
  <w:style w:type="character" w:customStyle="1" w:styleId="Menzionenonrisolta1">
    <w:name w:val="Menzione non risolta1"/>
    <w:basedOn w:val="Carpredefinitoparagrafo"/>
    <w:uiPriority w:val="99"/>
    <w:semiHidden/>
    <w:unhideWhenUsed/>
    <w:rsid w:val="00DD5F45"/>
    <w:rPr>
      <w:color w:val="605E5C"/>
      <w:shd w:val="clear" w:color="auto" w:fill="E1DFDD"/>
    </w:rPr>
  </w:style>
  <w:style w:type="character" w:customStyle="1" w:styleId="Titolo2Carattere">
    <w:name w:val="Titolo 2 Carattere"/>
    <w:basedOn w:val="Carpredefinitoparagrafo"/>
    <w:link w:val="Titolo2"/>
    <w:uiPriority w:val="9"/>
    <w:rsid w:val="009E7076"/>
    <w:rPr>
      <w:rFonts w:asciiTheme="majorHAnsi" w:eastAsiaTheme="majorEastAsia" w:hAnsiTheme="majorHAnsi" w:cstheme="majorBidi"/>
      <w:color w:val="2F5496" w:themeColor="accent1" w:themeShade="BF"/>
      <w:sz w:val="26"/>
      <w:szCs w:val="26"/>
    </w:rPr>
  </w:style>
  <w:style w:type="character" w:styleId="Collegamentovisitato">
    <w:name w:val="FollowedHyperlink"/>
    <w:basedOn w:val="Carpredefinitoparagrafo"/>
    <w:uiPriority w:val="99"/>
    <w:semiHidden/>
    <w:unhideWhenUsed/>
    <w:rsid w:val="001F79A3"/>
    <w:rPr>
      <w:color w:val="954F72" w:themeColor="followedHyperlink"/>
      <w:u w:val="single"/>
    </w:rPr>
  </w:style>
  <w:style w:type="character" w:styleId="Rimandocommento">
    <w:name w:val="annotation reference"/>
    <w:basedOn w:val="Carpredefinitoparagrafo"/>
    <w:uiPriority w:val="99"/>
    <w:semiHidden/>
    <w:unhideWhenUsed/>
    <w:rsid w:val="002E4450"/>
    <w:rPr>
      <w:sz w:val="16"/>
      <w:szCs w:val="16"/>
    </w:rPr>
  </w:style>
  <w:style w:type="paragraph" w:styleId="Testocommento">
    <w:name w:val="annotation text"/>
    <w:basedOn w:val="Normale"/>
    <w:link w:val="TestocommentoCarattere"/>
    <w:uiPriority w:val="99"/>
    <w:unhideWhenUsed/>
    <w:rsid w:val="002E4450"/>
    <w:pPr>
      <w:spacing w:line="240" w:lineRule="auto"/>
    </w:pPr>
    <w:rPr>
      <w:sz w:val="20"/>
      <w:szCs w:val="20"/>
    </w:rPr>
  </w:style>
  <w:style w:type="character" w:customStyle="1" w:styleId="TestocommentoCarattere">
    <w:name w:val="Testo commento Carattere"/>
    <w:basedOn w:val="Carpredefinitoparagrafo"/>
    <w:link w:val="Testocommento"/>
    <w:uiPriority w:val="99"/>
    <w:rsid w:val="002E4450"/>
    <w:rPr>
      <w:sz w:val="20"/>
      <w:szCs w:val="20"/>
    </w:rPr>
  </w:style>
  <w:style w:type="paragraph" w:styleId="Soggettocommento">
    <w:name w:val="annotation subject"/>
    <w:basedOn w:val="Testocommento"/>
    <w:next w:val="Testocommento"/>
    <w:link w:val="SoggettocommentoCarattere"/>
    <w:uiPriority w:val="99"/>
    <w:semiHidden/>
    <w:unhideWhenUsed/>
    <w:rsid w:val="002E4450"/>
    <w:rPr>
      <w:b/>
      <w:bCs/>
    </w:rPr>
  </w:style>
  <w:style w:type="character" w:customStyle="1" w:styleId="SoggettocommentoCarattere">
    <w:name w:val="Soggetto commento Carattere"/>
    <w:basedOn w:val="TestocommentoCarattere"/>
    <w:link w:val="Soggettocommento"/>
    <w:uiPriority w:val="99"/>
    <w:semiHidden/>
    <w:rsid w:val="002E4450"/>
    <w:rPr>
      <w:b/>
      <w:bCs/>
      <w:sz w:val="20"/>
      <w:szCs w:val="20"/>
    </w:rPr>
  </w:style>
  <w:style w:type="character" w:customStyle="1" w:styleId="Titolo1Carattere">
    <w:name w:val="Titolo 1 Carattere"/>
    <w:basedOn w:val="Carpredefinitoparagrafo"/>
    <w:link w:val="Titolo1"/>
    <w:uiPriority w:val="9"/>
    <w:rsid w:val="00D02902"/>
    <w:rPr>
      <w:rFonts w:asciiTheme="majorHAnsi" w:eastAsiaTheme="majorEastAsia" w:hAnsiTheme="majorHAnsi" w:cstheme="majorBidi"/>
      <w:color w:val="2F5496" w:themeColor="accent1" w:themeShade="BF"/>
      <w:sz w:val="32"/>
      <w:szCs w:val="32"/>
    </w:rPr>
  </w:style>
  <w:style w:type="paragraph" w:styleId="NormaleWeb">
    <w:name w:val="Normal (Web)"/>
    <w:basedOn w:val="Normale"/>
    <w:uiPriority w:val="99"/>
    <w:unhideWhenUsed/>
    <w:rsid w:val="00D02902"/>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table" w:styleId="Grigliatabella">
    <w:name w:val="Table Grid"/>
    <w:basedOn w:val="Tabellanormale"/>
    <w:uiPriority w:val="39"/>
    <w:rsid w:val="003826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asemplice-2">
    <w:name w:val="Plain Table 2"/>
    <w:basedOn w:val="Tabellanormale"/>
    <w:uiPriority w:val="42"/>
    <w:rsid w:val="00F534B3"/>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ellasemplice-1">
    <w:name w:val="Plain Table 1"/>
    <w:basedOn w:val="Tabellanormale"/>
    <w:uiPriority w:val="41"/>
    <w:rsid w:val="00F534B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gliatabellachiara">
    <w:name w:val="Grid Table Light"/>
    <w:basedOn w:val="Tabellanormale"/>
    <w:uiPriority w:val="40"/>
    <w:rsid w:val="00F534B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asemplice-3">
    <w:name w:val="Plain Table 3"/>
    <w:basedOn w:val="Tabellanormale"/>
    <w:uiPriority w:val="43"/>
    <w:rsid w:val="00F534B3"/>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semplice4">
    <w:name w:val="Plain Table 4"/>
    <w:basedOn w:val="Tabellanormale"/>
    <w:uiPriority w:val="44"/>
    <w:rsid w:val="00F534B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lasemplice5">
    <w:name w:val="Plain Table 5"/>
    <w:basedOn w:val="Tabellanormale"/>
    <w:uiPriority w:val="45"/>
    <w:rsid w:val="00F534B3"/>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ellagriglia1chiara">
    <w:name w:val="Grid Table 1 Light"/>
    <w:basedOn w:val="Tabellanormale"/>
    <w:uiPriority w:val="46"/>
    <w:rsid w:val="00F534B3"/>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ellagriglia1chiara-colore1">
    <w:name w:val="Grid Table 1 Light Accent 1"/>
    <w:basedOn w:val="Tabellanormale"/>
    <w:uiPriority w:val="46"/>
    <w:rsid w:val="00F534B3"/>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Tabellagriglia1chiara-colore2">
    <w:name w:val="Grid Table 1 Light Accent 2"/>
    <w:basedOn w:val="Tabellanormale"/>
    <w:uiPriority w:val="46"/>
    <w:rsid w:val="00F534B3"/>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Tabellagriglia1chiara-colore3">
    <w:name w:val="Grid Table 1 Light Accent 3"/>
    <w:basedOn w:val="Tabellanormale"/>
    <w:uiPriority w:val="46"/>
    <w:rsid w:val="00F534B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Tabellagriglia4-colore3">
    <w:name w:val="Grid Table 4 Accent 3"/>
    <w:basedOn w:val="Tabellanormale"/>
    <w:uiPriority w:val="49"/>
    <w:rsid w:val="00D4741F"/>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ellagriglia4-colore6">
    <w:name w:val="Grid Table 4 Accent 6"/>
    <w:basedOn w:val="Tabellanormale"/>
    <w:uiPriority w:val="49"/>
    <w:rsid w:val="004A638B"/>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ellagriglia4-colore5">
    <w:name w:val="Grid Table 4 Accent 5"/>
    <w:basedOn w:val="Tabellanormale"/>
    <w:uiPriority w:val="49"/>
    <w:rsid w:val="004A638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Enfasigrassetto">
    <w:name w:val="Strong"/>
    <w:basedOn w:val="Carpredefinitoparagrafo"/>
    <w:uiPriority w:val="22"/>
    <w:qFormat/>
    <w:rsid w:val="0015770C"/>
    <w:rPr>
      <w:b/>
      <w:bCs/>
    </w:rPr>
  </w:style>
  <w:style w:type="paragraph" w:styleId="Testofumetto">
    <w:name w:val="Balloon Text"/>
    <w:basedOn w:val="Normale"/>
    <w:link w:val="TestofumettoCarattere"/>
    <w:uiPriority w:val="99"/>
    <w:semiHidden/>
    <w:unhideWhenUsed/>
    <w:rsid w:val="00ED57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ED5783"/>
    <w:rPr>
      <w:rFonts w:ascii="Segoe UI" w:hAnsi="Segoe UI" w:cs="Segoe UI"/>
      <w:sz w:val="18"/>
      <w:szCs w:val="18"/>
    </w:rPr>
  </w:style>
  <w:style w:type="character" w:customStyle="1" w:styleId="Menzionenonrisolta2">
    <w:name w:val="Menzione non risolta2"/>
    <w:basedOn w:val="Carpredefinitoparagrafo"/>
    <w:uiPriority w:val="99"/>
    <w:semiHidden/>
    <w:unhideWhenUsed/>
    <w:rsid w:val="009507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1826505">
      <w:bodyDiv w:val="1"/>
      <w:marLeft w:val="0"/>
      <w:marRight w:val="0"/>
      <w:marTop w:val="0"/>
      <w:marBottom w:val="0"/>
      <w:divBdr>
        <w:top w:val="none" w:sz="0" w:space="0" w:color="auto"/>
        <w:left w:val="none" w:sz="0" w:space="0" w:color="auto"/>
        <w:bottom w:val="none" w:sz="0" w:space="0" w:color="auto"/>
        <w:right w:val="none" w:sz="0" w:space="0" w:color="auto"/>
      </w:divBdr>
    </w:div>
    <w:div w:id="327755663">
      <w:bodyDiv w:val="1"/>
      <w:marLeft w:val="0"/>
      <w:marRight w:val="0"/>
      <w:marTop w:val="0"/>
      <w:marBottom w:val="0"/>
      <w:divBdr>
        <w:top w:val="none" w:sz="0" w:space="0" w:color="auto"/>
        <w:left w:val="none" w:sz="0" w:space="0" w:color="auto"/>
        <w:bottom w:val="none" w:sz="0" w:space="0" w:color="auto"/>
        <w:right w:val="none" w:sz="0" w:space="0" w:color="auto"/>
      </w:divBdr>
      <w:divsChild>
        <w:div w:id="374161956">
          <w:marLeft w:val="0"/>
          <w:marRight w:val="0"/>
          <w:marTop w:val="0"/>
          <w:marBottom w:val="0"/>
          <w:divBdr>
            <w:top w:val="none" w:sz="0" w:space="0" w:color="auto"/>
            <w:left w:val="none" w:sz="0" w:space="0" w:color="auto"/>
            <w:bottom w:val="none" w:sz="0" w:space="0" w:color="auto"/>
            <w:right w:val="none" w:sz="0" w:space="0" w:color="auto"/>
          </w:divBdr>
          <w:divsChild>
            <w:div w:id="944459088">
              <w:marLeft w:val="0"/>
              <w:marRight w:val="0"/>
              <w:marTop w:val="0"/>
              <w:marBottom w:val="0"/>
              <w:divBdr>
                <w:top w:val="none" w:sz="0" w:space="0" w:color="auto"/>
                <w:left w:val="none" w:sz="0" w:space="0" w:color="auto"/>
                <w:bottom w:val="none" w:sz="0" w:space="0" w:color="auto"/>
                <w:right w:val="none" w:sz="0" w:space="0" w:color="auto"/>
              </w:divBdr>
            </w:div>
          </w:divsChild>
        </w:div>
        <w:div w:id="381246026">
          <w:marLeft w:val="0"/>
          <w:marRight w:val="0"/>
          <w:marTop w:val="0"/>
          <w:marBottom w:val="0"/>
          <w:divBdr>
            <w:top w:val="none" w:sz="0" w:space="0" w:color="auto"/>
            <w:left w:val="none" w:sz="0" w:space="0" w:color="auto"/>
            <w:bottom w:val="none" w:sz="0" w:space="0" w:color="auto"/>
            <w:right w:val="none" w:sz="0" w:space="0" w:color="auto"/>
          </w:divBdr>
          <w:divsChild>
            <w:div w:id="1448545298">
              <w:marLeft w:val="0"/>
              <w:marRight w:val="0"/>
              <w:marTop w:val="0"/>
              <w:marBottom w:val="450"/>
              <w:divBdr>
                <w:top w:val="none" w:sz="0" w:space="0" w:color="auto"/>
                <w:left w:val="none" w:sz="0" w:space="0" w:color="auto"/>
                <w:bottom w:val="none" w:sz="0" w:space="0" w:color="auto"/>
                <w:right w:val="none" w:sz="0" w:space="0" w:color="auto"/>
              </w:divBdr>
              <w:divsChild>
                <w:div w:id="621572986">
                  <w:marLeft w:val="0"/>
                  <w:marRight w:val="0"/>
                  <w:marTop w:val="0"/>
                  <w:marBottom w:val="0"/>
                  <w:divBdr>
                    <w:top w:val="none" w:sz="0" w:space="0" w:color="auto"/>
                    <w:left w:val="none" w:sz="0" w:space="0" w:color="auto"/>
                    <w:bottom w:val="none" w:sz="0" w:space="0" w:color="auto"/>
                    <w:right w:val="none" w:sz="0" w:space="0" w:color="auto"/>
                  </w:divBdr>
                  <w:divsChild>
                    <w:div w:id="121001337">
                      <w:marLeft w:val="0"/>
                      <w:marRight w:val="300"/>
                      <w:marTop w:val="0"/>
                      <w:marBottom w:val="0"/>
                      <w:divBdr>
                        <w:top w:val="none" w:sz="0" w:space="0" w:color="auto"/>
                        <w:left w:val="none" w:sz="0" w:space="0" w:color="auto"/>
                        <w:bottom w:val="none" w:sz="0" w:space="0" w:color="auto"/>
                        <w:right w:val="none" w:sz="0" w:space="0" w:color="auto"/>
                      </w:divBdr>
                    </w:div>
                  </w:divsChild>
                </w:div>
                <w:div w:id="129101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108487">
          <w:marLeft w:val="0"/>
          <w:marRight w:val="0"/>
          <w:marTop w:val="450"/>
          <w:marBottom w:val="450"/>
          <w:divBdr>
            <w:top w:val="none" w:sz="0" w:space="0" w:color="auto"/>
            <w:left w:val="none" w:sz="0" w:space="0" w:color="auto"/>
            <w:bottom w:val="none" w:sz="0" w:space="0" w:color="auto"/>
            <w:right w:val="none" w:sz="0" w:space="0" w:color="auto"/>
          </w:divBdr>
          <w:divsChild>
            <w:div w:id="134950893">
              <w:marLeft w:val="0"/>
              <w:marRight w:val="0"/>
              <w:marTop w:val="0"/>
              <w:marBottom w:val="0"/>
              <w:divBdr>
                <w:top w:val="none" w:sz="0" w:space="0" w:color="auto"/>
                <w:left w:val="none" w:sz="0" w:space="0" w:color="auto"/>
                <w:bottom w:val="none" w:sz="0" w:space="0" w:color="auto"/>
                <w:right w:val="none" w:sz="0" w:space="0" w:color="auto"/>
              </w:divBdr>
            </w:div>
          </w:divsChild>
        </w:div>
        <w:div w:id="668681402">
          <w:marLeft w:val="0"/>
          <w:marRight w:val="0"/>
          <w:marTop w:val="450"/>
          <w:marBottom w:val="450"/>
          <w:divBdr>
            <w:top w:val="none" w:sz="0" w:space="0" w:color="auto"/>
            <w:left w:val="none" w:sz="0" w:space="0" w:color="auto"/>
            <w:bottom w:val="none" w:sz="0" w:space="0" w:color="auto"/>
            <w:right w:val="none" w:sz="0" w:space="0" w:color="auto"/>
          </w:divBdr>
          <w:divsChild>
            <w:div w:id="596788787">
              <w:marLeft w:val="0"/>
              <w:marRight w:val="0"/>
              <w:marTop w:val="0"/>
              <w:marBottom w:val="0"/>
              <w:divBdr>
                <w:top w:val="none" w:sz="0" w:space="0" w:color="auto"/>
                <w:left w:val="none" w:sz="0" w:space="0" w:color="auto"/>
                <w:bottom w:val="none" w:sz="0" w:space="0" w:color="auto"/>
                <w:right w:val="none" w:sz="0" w:space="0" w:color="auto"/>
              </w:divBdr>
              <w:divsChild>
                <w:div w:id="78335456">
                  <w:marLeft w:val="0"/>
                  <w:marRight w:val="0"/>
                  <w:marTop w:val="0"/>
                  <w:marBottom w:val="0"/>
                  <w:divBdr>
                    <w:top w:val="none" w:sz="0" w:space="0" w:color="auto"/>
                    <w:left w:val="none" w:sz="0" w:space="0" w:color="auto"/>
                    <w:bottom w:val="none" w:sz="0" w:space="0" w:color="auto"/>
                    <w:right w:val="none" w:sz="0" w:space="0" w:color="auto"/>
                  </w:divBdr>
                  <w:divsChild>
                    <w:div w:id="1801653699">
                      <w:marLeft w:val="0"/>
                      <w:marRight w:val="0"/>
                      <w:marTop w:val="0"/>
                      <w:marBottom w:val="0"/>
                      <w:divBdr>
                        <w:top w:val="none" w:sz="0" w:space="0" w:color="auto"/>
                        <w:left w:val="none" w:sz="0" w:space="0" w:color="auto"/>
                        <w:bottom w:val="none" w:sz="0" w:space="0" w:color="auto"/>
                        <w:right w:val="none" w:sz="0" w:space="0" w:color="auto"/>
                      </w:divBdr>
                      <w:divsChild>
                        <w:div w:id="53352739">
                          <w:marLeft w:val="0"/>
                          <w:marRight w:val="0"/>
                          <w:marTop w:val="0"/>
                          <w:marBottom w:val="0"/>
                          <w:divBdr>
                            <w:top w:val="none" w:sz="0" w:space="0" w:color="auto"/>
                            <w:left w:val="none" w:sz="0" w:space="0" w:color="auto"/>
                            <w:bottom w:val="none" w:sz="0" w:space="0" w:color="auto"/>
                            <w:right w:val="none" w:sz="0" w:space="0" w:color="auto"/>
                          </w:divBdr>
                          <w:divsChild>
                            <w:div w:id="1615206432">
                              <w:marLeft w:val="0"/>
                              <w:marRight w:val="0"/>
                              <w:marTop w:val="0"/>
                              <w:marBottom w:val="0"/>
                              <w:divBdr>
                                <w:top w:val="none" w:sz="0" w:space="0" w:color="auto"/>
                                <w:left w:val="none" w:sz="0" w:space="0" w:color="auto"/>
                                <w:bottom w:val="none" w:sz="0" w:space="0" w:color="auto"/>
                                <w:right w:val="none" w:sz="0" w:space="0" w:color="auto"/>
                              </w:divBdr>
                              <w:divsChild>
                                <w:div w:id="1398241708">
                                  <w:marLeft w:val="150"/>
                                  <w:marRight w:val="150"/>
                                  <w:marTop w:val="0"/>
                                  <w:marBottom w:val="0"/>
                                  <w:divBdr>
                                    <w:top w:val="none" w:sz="0" w:space="0" w:color="auto"/>
                                    <w:left w:val="none" w:sz="0" w:space="0" w:color="auto"/>
                                    <w:bottom w:val="none" w:sz="0" w:space="0" w:color="auto"/>
                                    <w:right w:val="none" w:sz="0" w:space="0" w:color="auto"/>
                                  </w:divBdr>
                                  <w:divsChild>
                                    <w:div w:id="94981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531822">
          <w:marLeft w:val="0"/>
          <w:marRight w:val="0"/>
          <w:marTop w:val="0"/>
          <w:marBottom w:val="0"/>
          <w:divBdr>
            <w:top w:val="none" w:sz="0" w:space="0" w:color="auto"/>
            <w:left w:val="none" w:sz="0" w:space="0" w:color="auto"/>
            <w:bottom w:val="none" w:sz="0" w:space="0" w:color="auto"/>
            <w:right w:val="none" w:sz="0" w:space="0" w:color="auto"/>
          </w:divBdr>
          <w:divsChild>
            <w:div w:id="1859392231">
              <w:marLeft w:val="0"/>
              <w:marRight w:val="0"/>
              <w:marTop w:val="0"/>
              <w:marBottom w:val="450"/>
              <w:divBdr>
                <w:top w:val="none" w:sz="0" w:space="0" w:color="auto"/>
                <w:left w:val="none" w:sz="0" w:space="0" w:color="auto"/>
                <w:bottom w:val="none" w:sz="0" w:space="0" w:color="auto"/>
                <w:right w:val="none" w:sz="0" w:space="0" w:color="auto"/>
              </w:divBdr>
              <w:divsChild>
                <w:div w:id="386490333">
                  <w:marLeft w:val="0"/>
                  <w:marRight w:val="0"/>
                  <w:marTop w:val="0"/>
                  <w:marBottom w:val="0"/>
                  <w:divBdr>
                    <w:top w:val="none" w:sz="0" w:space="0" w:color="auto"/>
                    <w:left w:val="none" w:sz="0" w:space="0" w:color="auto"/>
                    <w:bottom w:val="none" w:sz="0" w:space="0" w:color="auto"/>
                    <w:right w:val="none" w:sz="0" w:space="0" w:color="auto"/>
                  </w:divBdr>
                  <w:divsChild>
                    <w:div w:id="1794903215">
                      <w:marLeft w:val="0"/>
                      <w:marRight w:val="300"/>
                      <w:marTop w:val="0"/>
                      <w:marBottom w:val="0"/>
                      <w:divBdr>
                        <w:top w:val="none" w:sz="0" w:space="0" w:color="auto"/>
                        <w:left w:val="none" w:sz="0" w:space="0" w:color="auto"/>
                        <w:bottom w:val="none" w:sz="0" w:space="0" w:color="auto"/>
                        <w:right w:val="none" w:sz="0" w:space="0" w:color="auto"/>
                      </w:divBdr>
                    </w:div>
                  </w:divsChild>
                </w:div>
                <w:div w:id="1407266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448337">
          <w:marLeft w:val="0"/>
          <w:marRight w:val="0"/>
          <w:marTop w:val="0"/>
          <w:marBottom w:val="0"/>
          <w:divBdr>
            <w:top w:val="none" w:sz="0" w:space="0" w:color="auto"/>
            <w:left w:val="none" w:sz="0" w:space="0" w:color="auto"/>
            <w:bottom w:val="none" w:sz="0" w:space="0" w:color="auto"/>
            <w:right w:val="none" w:sz="0" w:space="0" w:color="auto"/>
          </w:divBdr>
          <w:divsChild>
            <w:div w:id="185557174">
              <w:marLeft w:val="0"/>
              <w:marRight w:val="0"/>
              <w:marTop w:val="0"/>
              <w:marBottom w:val="0"/>
              <w:divBdr>
                <w:top w:val="none" w:sz="0" w:space="0" w:color="auto"/>
                <w:left w:val="none" w:sz="0" w:space="0" w:color="auto"/>
                <w:bottom w:val="none" w:sz="0" w:space="0" w:color="auto"/>
                <w:right w:val="none" w:sz="0" w:space="0" w:color="auto"/>
              </w:divBdr>
            </w:div>
          </w:divsChild>
        </w:div>
        <w:div w:id="1746493931">
          <w:marLeft w:val="0"/>
          <w:marRight w:val="0"/>
          <w:marTop w:val="0"/>
          <w:marBottom w:val="0"/>
          <w:divBdr>
            <w:top w:val="none" w:sz="0" w:space="0" w:color="auto"/>
            <w:left w:val="none" w:sz="0" w:space="0" w:color="auto"/>
            <w:bottom w:val="none" w:sz="0" w:space="0" w:color="auto"/>
            <w:right w:val="none" w:sz="0" w:space="0" w:color="auto"/>
          </w:divBdr>
          <w:divsChild>
            <w:div w:id="889072225">
              <w:marLeft w:val="0"/>
              <w:marRight w:val="0"/>
              <w:marTop w:val="0"/>
              <w:marBottom w:val="0"/>
              <w:divBdr>
                <w:top w:val="none" w:sz="0" w:space="0" w:color="auto"/>
                <w:left w:val="none" w:sz="0" w:space="0" w:color="auto"/>
                <w:bottom w:val="none" w:sz="0" w:space="0" w:color="auto"/>
                <w:right w:val="none" w:sz="0" w:space="0" w:color="auto"/>
              </w:divBdr>
            </w:div>
          </w:divsChild>
        </w:div>
        <w:div w:id="1854219445">
          <w:marLeft w:val="0"/>
          <w:marRight w:val="0"/>
          <w:marTop w:val="0"/>
          <w:marBottom w:val="0"/>
          <w:divBdr>
            <w:top w:val="none" w:sz="0" w:space="0" w:color="auto"/>
            <w:left w:val="none" w:sz="0" w:space="0" w:color="auto"/>
            <w:bottom w:val="none" w:sz="0" w:space="0" w:color="auto"/>
            <w:right w:val="none" w:sz="0" w:space="0" w:color="auto"/>
          </w:divBdr>
          <w:divsChild>
            <w:div w:id="623344004">
              <w:marLeft w:val="0"/>
              <w:marRight w:val="0"/>
              <w:marTop w:val="0"/>
              <w:marBottom w:val="0"/>
              <w:divBdr>
                <w:top w:val="none" w:sz="0" w:space="0" w:color="auto"/>
                <w:left w:val="none" w:sz="0" w:space="0" w:color="auto"/>
                <w:bottom w:val="none" w:sz="0" w:space="0" w:color="auto"/>
                <w:right w:val="none" w:sz="0" w:space="0" w:color="auto"/>
              </w:divBdr>
            </w:div>
          </w:divsChild>
        </w:div>
        <w:div w:id="1994094651">
          <w:marLeft w:val="0"/>
          <w:marRight w:val="0"/>
          <w:marTop w:val="0"/>
          <w:marBottom w:val="0"/>
          <w:divBdr>
            <w:top w:val="none" w:sz="0" w:space="0" w:color="auto"/>
            <w:left w:val="none" w:sz="0" w:space="0" w:color="auto"/>
            <w:bottom w:val="none" w:sz="0" w:space="0" w:color="auto"/>
            <w:right w:val="none" w:sz="0" w:space="0" w:color="auto"/>
          </w:divBdr>
          <w:divsChild>
            <w:div w:id="549920616">
              <w:marLeft w:val="0"/>
              <w:marRight w:val="0"/>
              <w:marTop w:val="0"/>
              <w:marBottom w:val="450"/>
              <w:divBdr>
                <w:top w:val="none" w:sz="0" w:space="0" w:color="auto"/>
                <w:left w:val="none" w:sz="0" w:space="0" w:color="auto"/>
                <w:bottom w:val="none" w:sz="0" w:space="0" w:color="auto"/>
                <w:right w:val="none" w:sz="0" w:space="0" w:color="auto"/>
              </w:divBdr>
              <w:divsChild>
                <w:div w:id="953830640">
                  <w:marLeft w:val="0"/>
                  <w:marRight w:val="0"/>
                  <w:marTop w:val="0"/>
                  <w:marBottom w:val="0"/>
                  <w:divBdr>
                    <w:top w:val="none" w:sz="0" w:space="0" w:color="auto"/>
                    <w:left w:val="none" w:sz="0" w:space="0" w:color="auto"/>
                    <w:bottom w:val="none" w:sz="0" w:space="0" w:color="auto"/>
                    <w:right w:val="none" w:sz="0" w:space="0" w:color="auto"/>
                  </w:divBdr>
                  <w:divsChild>
                    <w:div w:id="341057586">
                      <w:marLeft w:val="0"/>
                      <w:marRight w:val="300"/>
                      <w:marTop w:val="0"/>
                      <w:marBottom w:val="0"/>
                      <w:divBdr>
                        <w:top w:val="none" w:sz="0" w:space="0" w:color="auto"/>
                        <w:left w:val="none" w:sz="0" w:space="0" w:color="auto"/>
                        <w:bottom w:val="none" w:sz="0" w:space="0" w:color="auto"/>
                        <w:right w:val="none" w:sz="0" w:space="0" w:color="auto"/>
                      </w:divBdr>
                    </w:div>
                  </w:divsChild>
                </w:div>
                <w:div w:id="111660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188609">
      <w:bodyDiv w:val="1"/>
      <w:marLeft w:val="0"/>
      <w:marRight w:val="0"/>
      <w:marTop w:val="0"/>
      <w:marBottom w:val="0"/>
      <w:divBdr>
        <w:top w:val="none" w:sz="0" w:space="0" w:color="auto"/>
        <w:left w:val="none" w:sz="0" w:space="0" w:color="auto"/>
        <w:bottom w:val="none" w:sz="0" w:space="0" w:color="auto"/>
        <w:right w:val="none" w:sz="0" w:space="0" w:color="auto"/>
      </w:divBdr>
    </w:div>
    <w:div w:id="544176070">
      <w:bodyDiv w:val="1"/>
      <w:marLeft w:val="0"/>
      <w:marRight w:val="0"/>
      <w:marTop w:val="0"/>
      <w:marBottom w:val="0"/>
      <w:divBdr>
        <w:top w:val="none" w:sz="0" w:space="0" w:color="auto"/>
        <w:left w:val="none" w:sz="0" w:space="0" w:color="auto"/>
        <w:bottom w:val="none" w:sz="0" w:space="0" w:color="auto"/>
        <w:right w:val="none" w:sz="0" w:space="0" w:color="auto"/>
      </w:divBdr>
      <w:divsChild>
        <w:div w:id="573666834">
          <w:marLeft w:val="0"/>
          <w:marRight w:val="0"/>
          <w:marTop w:val="0"/>
          <w:marBottom w:val="0"/>
          <w:divBdr>
            <w:top w:val="none" w:sz="0" w:space="0" w:color="auto"/>
            <w:left w:val="none" w:sz="0" w:space="0" w:color="auto"/>
            <w:bottom w:val="none" w:sz="0" w:space="0" w:color="auto"/>
            <w:right w:val="none" w:sz="0" w:space="0" w:color="auto"/>
          </w:divBdr>
          <w:divsChild>
            <w:div w:id="1560894124">
              <w:marLeft w:val="0"/>
              <w:marRight w:val="300"/>
              <w:marTop w:val="0"/>
              <w:marBottom w:val="0"/>
              <w:divBdr>
                <w:top w:val="none" w:sz="0" w:space="0" w:color="auto"/>
                <w:left w:val="none" w:sz="0" w:space="0" w:color="auto"/>
                <w:bottom w:val="none" w:sz="0" w:space="0" w:color="auto"/>
                <w:right w:val="none" w:sz="0" w:space="0" w:color="auto"/>
              </w:divBdr>
            </w:div>
          </w:divsChild>
        </w:div>
        <w:div w:id="1181117725">
          <w:marLeft w:val="0"/>
          <w:marRight w:val="0"/>
          <w:marTop w:val="0"/>
          <w:marBottom w:val="0"/>
          <w:divBdr>
            <w:top w:val="none" w:sz="0" w:space="0" w:color="auto"/>
            <w:left w:val="none" w:sz="0" w:space="0" w:color="auto"/>
            <w:bottom w:val="none" w:sz="0" w:space="0" w:color="auto"/>
            <w:right w:val="none" w:sz="0" w:space="0" w:color="auto"/>
          </w:divBdr>
        </w:div>
      </w:divsChild>
    </w:div>
    <w:div w:id="582028750">
      <w:bodyDiv w:val="1"/>
      <w:marLeft w:val="0"/>
      <w:marRight w:val="0"/>
      <w:marTop w:val="0"/>
      <w:marBottom w:val="0"/>
      <w:divBdr>
        <w:top w:val="none" w:sz="0" w:space="0" w:color="auto"/>
        <w:left w:val="none" w:sz="0" w:space="0" w:color="auto"/>
        <w:bottom w:val="none" w:sz="0" w:space="0" w:color="auto"/>
        <w:right w:val="none" w:sz="0" w:space="0" w:color="auto"/>
      </w:divBdr>
    </w:div>
    <w:div w:id="642732659">
      <w:bodyDiv w:val="1"/>
      <w:marLeft w:val="0"/>
      <w:marRight w:val="0"/>
      <w:marTop w:val="0"/>
      <w:marBottom w:val="0"/>
      <w:divBdr>
        <w:top w:val="none" w:sz="0" w:space="0" w:color="auto"/>
        <w:left w:val="none" w:sz="0" w:space="0" w:color="auto"/>
        <w:bottom w:val="none" w:sz="0" w:space="0" w:color="auto"/>
        <w:right w:val="none" w:sz="0" w:space="0" w:color="auto"/>
      </w:divBdr>
    </w:div>
    <w:div w:id="649754708">
      <w:bodyDiv w:val="1"/>
      <w:marLeft w:val="0"/>
      <w:marRight w:val="0"/>
      <w:marTop w:val="0"/>
      <w:marBottom w:val="0"/>
      <w:divBdr>
        <w:top w:val="none" w:sz="0" w:space="0" w:color="auto"/>
        <w:left w:val="none" w:sz="0" w:space="0" w:color="auto"/>
        <w:bottom w:val="none" w:sz="0" w:space="0" w:color="auto"/>
        <w:right w:val="none" w:sz="0" w:space="0" w:color="auto"/>
      </w:divBdr>
    </w:div>
    <w:div w:id="691346928">
      <w:bodyDiv w:val="1"/>
      <w:marLeft w:val="0"/>
      <w:marRight w:val="0"/>
      <w:marTop w:val="0"/>
      <w:marBottom w:val="0"/>
      <w:divBdr>
        <w:top w:val="none" w:sz="0" w:space="0" w:color="auto"/>
        <w:left w:val="none" w:sz="0" w:space="0" w:color="auto"/>
        <w:bottom w:val="none" w:sz="0" w:space="0" w:color="auto"/>
        <w:right w:val="none" w:sz="0" w:space="0" w:color="auto"/>
      </w:divBdr>
    </w:div>
    <w:div w:id="714161624">
      <w:bodyDiv w:val="1"/>
      <w:marLeft w:val="0"/>
      <w:marRight w:val="0"/>
      <w:marTop w:val="0"/>
      <w:marBottom w:val="0"/>
      <w:divBdr>
        <w:top w:val="none" w:sz="0" w:space="0" w:color="auto"/>
        <w:left w:val="none" w:sz="0" w:space="0" w:color="auto"/>
        <w:bottom w:val="none" w:sz="0" w:space="0" w:color="auto"/>
        <w:right w:val="none" w:sz="0" w:space="0" w:color="auto"/>
      </w:divBdr>
    </w:div>
    <w:div w:id="729547390">
      <w:bodyDiv w:val="1"/>
      <w:marLeft w:val="0"/>
      <w:marRight w:val="0"/>
      <w:marTop w:val="0"/>
      <w:marBottom w:val="0"/>
      <w:divBdr>
        <w:top w:val="none" w:sz="0" w:space="0" w:color="auto"/>
        <w:left w:val="none" w:sz="0" w:space="0" w:color="auto"/>
        <w:bottom w:val="none" w:sz="0" w:space="0" w:color="auto"/>
        <w:right w:val="none" w:sz="0" w:space="0" w:color="auto"/>
      </w:divBdr>
    </w:div>
    <w:div w:id="803348185">
      <w:bodyDiv w:val="1"/>
      <w:marLeft w:val="0"/>
      <w:marRight w:val="0"/>
      <w:marTop w:val="0"/>
      <w:marBottom w:val="0"/>
      <w:divBdr>
        <w:top w:val="none" w:sz="0" w:space="0" w:color="auto"/>
        <w:left w:val="none" w:sz="0" w:space="0" w:color="auto"/>
        <w:bottom w:val="none" w:sz="0" w:space="0" w:color="auto"/>
        <w:right w:val="none" w:sz="0" w:space="0" w:color="auto"/>
      </w:divBdr>
      <w:divsChild>
        <w:div w:id="1390961277">
          <w:marLeft w:val="0"/>
          <w:marRight w:val="0"/>
          <w:marTop w:val="0"/>
          <w:marBottom w:val="0"/>
          <w:divBdr>
            <w:top w:val="none" w:sz="0" w:space="0" w:color="auto"/>
            <w:left w:val="none" w:sz="0" w:space="0" w:color="auto"/>
            <w:bottom w:val="none" w:sz="0" w:space="0" w:color="auto"/>
            <w:right w:val="none" w:sz="0" w:space="0" w:color="auto"/>
          </w:divBdr>
          <w:divsChild>
            <w:div w:id="205140133">
              <w:marLeft w:val="0"/>
              <w:marRight w:val="0"/>
              <w:marTop w:val="0"/>
              <w:marBottom w:val="450"/>
              <w:divBdr>
                <w:top w:val="none" w:sz="0" w:space="0" w:color="auto"/>
                <w:left w:val="none" w:sz="0" w:space="0" w:color="auto"/>
                <w:bottom w:val="none" w:sz="0" w:space="0" w:color="auto"/>
                <w:right w:val="none" w:sz="0" w:space="0" w:color="auto"/>
              </w:divBdr>
              <w:divsChild>
                <w:div w:id="102727268">
                  <w:marLeft w:val="0"/>
                  <w:marRight w:val="0"/>
                  <w:marTop w:val="0"/>
                  <w:marBottom w:val="0"/>
                  <w:divBdr>
                    <w:top w:val="none" w:sz="0" w:space="0" w:color="auto"/>
                    <w:left w:val="none" w:sz="0" w:space="0" w:color="auto"/>
                    <w:bottom w:val="none" w:sz="0" w:space="0" w:color="auto"/>
                    <w:right w:val="none" w:sz="0" w:space="0" w:color="auto"/>
                  </w:divBdr>
                  <w:divsChild>
                    <w:div w:id="827592085">
                      <w:marLeft w:val="0"/>
                      <w:marRight w:val="300"/>
                      <w:marTop w:val="0"/>
                      <w:marBottom w:val="0"/>
                      <w:divBdr>
                        <w:top w:val="none" w:sz="0" w:space="0" w:color="auto"/>
                        <w:left w:val="none" w:sz="0" w:space="0" w:color="auto"/>
                        <w:bottom w:val="none" w:sz="0" w:space="0" w:color="auto"/>
                        <w:right w:val="none" w:sz="0" w:space="0" w:color="auto"/>
                      </w:divBdr>
                    </w:div>
                  </w:divsChild>
                </w:div>
                <w:div w:id="1867521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314240">
          <w:marLeft w:val="0"/>
          <w:marRight w:val="0"/>
          <w:marTop w:val="0"/>
          <w:marBottom w:val="0"/>
          <w:divBdr>
            <w:top w:val="none" w:sz="0" w:space="0" w:color="auto"/>
            <w:left w:val="none" w:sz="0" w:space="0" w:color="auto"/>
            <w:bottom w:val="none" w:sz="0" w:space="0" w:color="auto"/>
            <w:right w:val="none" w:sz="0" w:space="0" w:color="auto"/>
          </w:divBdr>
          <w:divsChild>
            <w:div w:id="274946146">
              <w:marLeft w:val="0"/>
              <w:marRight w:val="0"/>
              <w:marTop w:val="0"/>
              <w:marBottom w:val="450"/>
              <w:divBdr>
                <w:top w:val="none" w:sz="0" w:space="0" w:color="auto"/>
                <w:left w:val="none" w:sz="0" w:space="0" w:color="auto"/>
                <w:bottom w:val="none" w:sz="0" w:space="0" w:color="auto"/>
                <w:right w:val="none" w:sz="0" w:space="0" w:color="auto"/>
              </w:divBdr>
              <w:divsChild>
                <w:div w:id="214102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076843">
          <w:marLeft w:val="0"/>
          <w:marRight w:val="0"/>
          <w:marTop w:val="0"/>
          <w:marBottom w:val="0"/>
          <w:divBdr>
            <w:top w:val="none" w:sz="0" w:space="0" w:color="auto"/>
            <w:left w:val="none" w:sz="0" w:space="0" w:color="auto"/>
            <w:bottom w:val="none" w:sz="0" w:space="0" w:color="auto"/>
            <w:right w:val="none" w:sz="0" w:space="0" w:color="auto"/>
          </w:divBdr>
          <w:divsChild>
            <w:div w:id="403603348">
              <w:marLeft w:val="0"/>
              <w:marRight w:val="0"/>
              <w:marTop w:val="0"/>
              <w:marBottom w:val="450"/>
              <w:divBdr>
                <w:top w:val="none" w:sz="0" w:space="0" w:color="auto"/>
                <w:left w:val="none" w:sz="0" w:space="0" w:color="auto"/>
                <w:bottom w:val="none" w:sz="0" w:space="0" w:color="auto"/>
                <w:right w:val="none" w:sz="0" w:space="0" w:color="auto"/>
              </w:divBdr>
              <w:divsChild>
                <w:div w:id="384573786">
                  <w:marLeft w:val="0"/>
                  <w:marRight w:val="0"/>
                  <w:marTop w:val="0"/>
                  <w:marBottom w:val="0"/>
                  <w:divBdr>
                    <w:top w:val="none" w:sz="0" w:space="0" w:color="auto"/>
                    <w:left w:val="none" w:sz="0" w:space="0" w:color="auto"/>
                    <w:bottom w:val="none" w:sz="0" w:space="0" w:color="auto"/>
                    <w:right w:val="none" w:sz="0" w:space="0" w:color="auto"/>
                  </w:divBdr>
                  <w:divsChild>
                    <w:div w:id="1755473504">
                      <w:marLeft w:val="0"/>
                      <w:marRight w:val="300"/>
                      <w:marTop w:val="0"/>
                      <w:marBottom w:val="0"/>
                      <w:divBdr>
                        <w:top w:val="none" w:sz="0" w:space="0" w:color="auto"/>
                        <w:left w:val="none" w:sz="0" w:space="0" w:color="auto"/>
                        <w:bottom w:val="none" w:sz="0" w:space="0" w:color="auto"/>
                        <w:right w:val="none" w:sz="0" w:space="0" w:color="auto"/>
                      </w:divBdr>
                    </w:div>
                  </w:divsChild>
                </w:div>
                <w:div w:id="2026324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3896553">
      <w:bodyDiv w:val="1"/>
      <w:marLeft w:val="0"/>
      <w:marRight w:val="0"/>
      <w:marTop w:val="0"/>
      <w:marBottom w:val="0"/>
      <w:divBdr>
        <w:top w:val="none" w:sz="0" w:space="0" w:color="auto"/>
        <w:left w:val="none" w:sz="0" w:space="0" w:color="auto"/>
        <w:bottom w:val="none" w:sz="0" w:space="0" w:color="auto"/>
        <w:right w:val="none" w:sz="0" w:space="0" w:color="auto"/>
      </w:divBdr>
    </w:div>
    <w:div w:id="1018853354">
      <w:bodyDiv w:val="1"/>
      <w:marLeft w:val="0"/>
      <w:marRight w:val="0"/>
      <w:marTop w:val="0"/>
      <w:marBottom w:val="0"/>
      <w:divBdr>
        <w:top w:val="none" w:sz="0" w:space="0" w:color="auto"/>
        <w:left w:val="none" w:sz="0" w:space="0" w:color="auto"/>
        <w:bottom w:val="none" w:sz="0" w:space="0" w:color="auto"/>
        <w:right w:val="none" w:sz="0" w:space="0" w:color="auto"/>
      </w:divBdr>
      <w:divsChild>
        <w:div w:id="16779907">
          <w:marLeft w:val="0"/>
          <w:marRight w:val="0"/>
          <w:marTop w:val="0"/>
          <w:marBottom w:val="0"/>
          <w:divBdr>
            <w:top w:val="none" w:sz="0" w:space="0" w:color="auto"/>
            <w:left w:val="none" w:sz="0" w:space="0" w:color="auto"/>
            <w:bottom w:val="none" w:sz="0" w:space="0" w:color="auto"/>
            <w:right w:val="none" w:sz="0" w:space="0" w:color="auto"/>
          </w:divBdr>
          <w:divsChild>
            <w:div w:id="477646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897965">
      <w:bodyDiv w:val="1"/>
      <w:marLeft w:val="0"/>
      <w:marRight w:val="0"/>
      <w:marTop w:val="0"/>
      <w:marBottom w:val="0"/>
      <w:divBdr>
        <w:top w:val="none" w:sz="0" w:space="0" w:color="auto"/>
        <w:left w:val="none" w:sz="0" w:space="0" w:color="auto"/>
        <w:bottom w:val="none" w:sz="0" w:space="0" w:color="auto"/>
        <w:right w:val="none" w:sz="0" w:space="0" w:color="auto"/>
      </w:divBdr>
    </w:div>
    <w:div w:id="1095441014">
      <w:bodyDiv w:val="1"/>
      <w:marLeft w:val="0"/>
      <w:marRight w:val="0"/>
      <w:marTop w:val="0"/>
      <w:marBottom w:val="0"/>
      <w:divBdr>
        <w:top w:val="none" w:sz="0" w:space="0" w:color="auto"/>
        <w:left w:val="none" w:sz="0" w:space="0" w:color="auto"/>
        <w:bottom w:val="none" w:sz="0" w:space="0" w:color="auto"/>
        <w:right w:val="none" w:sz="0" w:space="0" w:color="auto"/>
      </w:divBdr>
      <w:divsChild>
        <w:div w:id="247810126">
          <w:marLeft w:val="0"/>
          <w:marRight w:val="0"/>
          <w:marTop w:val="0"/>
          <w:marBottom w:val="0"/>
          <w:divBdr>
            <w:top w:val="none" w:sz="0" w:space="0" w:color="auto"/>
            <w:left w:val="none" w:sz="0" w:space="0" w:color="auto"/>
            <w:bottom w:val="none" w:sz="0" w:space="0" w:color="auto"/>
            <w:right w:val="none" w:sz="0" w:space="0" w:color="auto"/>
          </w:divBdr>
          <w:divsChild>
            <w:div w:id="1823768088">
              <w:marLeft w:val="0"/>
              <w:marRight w:val="0"/>
              <w:marTop w:val="0"/>
              <w:marBottom w:val="450"/>
              <w:divBdr>
                <w:top w:val="none" w:sz="0" w:space="0" w:color="auto"/>
                <w:left w:val="none" w:sz="0" w:space="0" w:color="auto"/>
                <w:bottom w:val="none" w:sz="0" w:space="0" w:color="auto"/>
                <w:right w:val="none" w:sz="0" w:space="0" w:color="auto"/>
              </w:divBdr>
              <w:divsChild>
                <w:div w:id="267546350">
                  <w:marLeft w:val="0"/>
                  <w:marRight w:val="0"/>
                  <w:marTop w:val="0"/>
                  <w:marBottom w:val="0"/>
                  <w:divBdr>
                    <w:top w:val="none" w:sz="0" w:space="0" w:color="auto"/>
                    <w:left w:val="none" w:sz="0" w:space="0" w:color="auto"/>
                    <w:bottom w:val="none" w:sz="0" w:space="0" w:color="auto"/>
                    <w:right w:val="none" w:sz="0" w:space="0" w:color="auto"/>
                  </w:divBdr>
                  <w:divsChild>
                    <w:div w:id="2128891363">
                      <w:marLeft w:val="0"/>
                      <w:marRight w:val="300"/>
                      <w:marTop w:val="0"/>
                      <w:marBottom w:val="0"/>
                      <w:divBdr>
                        <w:top w:val="none" w:sz="0" w:space="0" w:color="auto"/>
                        <w:left w:val="none" w:sz="0" w:space="0" w:color="auto"/>
                        <w:bottom w:val="none" w:sz="0" w:space="0" w:color="auto"/>
                        <w:right w:val="none" w:sz="0" w:space="0" w:color="auto"/>
                      </w:divBdr>
                    </w:div>
                  </w:divsChild>
                </w:div>
                <w:div w:id="141243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173156">
          <w:marLeft w:val="0"/>
          <w:marRight w:val="0"/>
          <w:marTop w:val="0"/>
          <w:marBottom w:val="0"/>
          <w:divBdr>
            <w:top w:val="none" w:sz="0" w:space="0" w:color="auto"/>
            <w:left w:val="none" w:sz="0" w:space="0" w:color="auto"/>
            <w:bottom w:val="none" w:sz="0" w:space="0" w:color="auto"/>
            <w:right w:val="none" w:sz="0" w:space="0" w:color="auto"/>
          </w:divBdr>
          <w:divsChild>
            <w:div w:id="1650281599">
              <w:marLeft w:val="0"/>
              <w:marRight w:val="0"/>
              <w:marTop w:val="0"/>
              <w:marBottom w:val="450"/>
              <w:divBdr>
                <w:top w:val="none" w:sz="0" w:space="0" w:color="auto"/>
                <w:left w:val="none" w:sz="0" w:space="0" w:color="auto"/>
                <w:bottom w:val="none" w:sz="0" w:space="0" w:color="auto"/>
                <w:right w:val="none" w:sz="0" w:space="0" w:color="auto"/>
              </w:divBdr>
              <w:divsChild>
                <w:div w:id="1463692470">
                  <w:marLeft w:val="0"/>
                  <w:marRight w:val="0"/>
                  <w:marTop w:val="0"/>
                  <w:marBottom w:val="0"/>
                  <w:divBdr>
                    <w:top w:val="none" w:sz="0" w:space="0" w:color="auto"/>
                    <w:left w:val="none" w:sz="0" w:space="0" w:color="auto"/>
                    <w:bottom w:val="none" w:sz="0" w:space="0" w:color="auto"/>
                    <w:right w:val="none" w:sz="0" w:space="0" w:color="auto"/>
                  </w:divBdr>
                  <w:divsChild>
                    <w:div w:id="1849977218">
                      <w:marLeft w:val="0"/>
                      <w:marRight w:val="300"/>
                      <w:marTop w:val="0"/>
                      <w:marBottom w:val="0"/>
                      <w:divBdr>
                        <w:top w:val="none" w:sz="0" w:space="0" w:color="auto"/>
                        <w:left w:val="none" w:sz="0" w:space="0" w:color="auto"/>
                        <w:bottom w:val="none" w:sz="0" w:space="0" w:color="auto"/>
                        <w:right w:val="none" w:sz="0" w:space="0" w:color="auto"/>
                      </w:divBdr>
                    </w:div>
                  </w:divsChild>
                </w:div>
                <w:div w:id="1548027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83575">
          <w:marLeft w:val="0"/>
          <w:marRight w:val="0"/>
          <w:marTop w:val="0"/>
          <w:marBottom w:val="0"/>
          <w:divBdr>
            <w:top w:val="none" w:sz="0" w:space="0" w:color="auto"/>
            <w:left w:val="none" w:sz="0" w:space="0" w:color="auto"/>
            <w:bottom w:val="none" w:sz="0" w:space="0" w:color="auto"/>
            <w:right w:val="none" w:sz="0" w:space="0" w:color="auto"/>
          </w:divBdr>
          <w:divsChild>
            <w:div w:id="1328485299">
              <w:marLeft w:val="0"/>
              <w:marRight w:val="0"/>
              <w:marTop w:val="0"/>
              <w:marBottom w:val="450"/>
              <w:divBdr>
                <w:top w:val="none" w:sz="0" w:space="0" w:color="auto"/>
                <w:left w:val="none" w:sz="0" w:space="0" w:color="auto"/>
                <w:bottom w:val="none" w:sz="0" w:space="0" w:color="auto"/>
                <w:right w:val="none" w:sz="0" w:space="0" w:color="auto"/>
              </w:divBdr>
              <w:divsChild>
                <w:div w:id="86535876">
                  <w:marLeft w:val="0"/>
                  <w:marRight w:val="0"/>
                  <w:marTop w:val="0"/>
                  <w:marBottom w:val="0"/>
                  <w:divBdr>
                    <w:top w:val="none" w:sz="0" w:space="0" w:color="auto"/>
                    <w:left w:val="none" w:sz="0" w:space="0" w:color="auto"/>
                    <w:bottom w:val="none" w:sz="0" w:space="0" w:color="auto"/>
                    <w:right w:val="none" w:sz="0" w:space="0" w:color="auto"/>
                  </w:divBdr>
                  <w:divsChild>
                    <w:div w:id="1657416337">
                      <w:marLeft w:val="0"/>
                      <w:marRight w:val="300"/>
                      <w:marTop w:val="0"/>
                      <w:marBottom w:val="0"/>
                      <w:divBdr>
                        <w:top w:val="none" w:sz="0" w:space="0" w:color="auto"/>
                        <w:left w:val="none" w:sz="0" w:space="0" w:color="auto"/>
                        <w:bottom w:val="none" w:sz="0" w:space="0" w:color="auto"/>
                        <w:right w:val="none" w:sz="0" w:space="0" w:color="auto"/>
                      </w:divBdr>
                    </w:div>
                  </w:divsChild>
                </w:div>
                <w:div w:id="208040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5447189">
      <w:bodyDiv w:val="1"/>
      <w:marLeft w:val="0"/>
      <w:marRight w:val="0"/>
      <w:marTop w:val="0"/>
      <w:marBottom w:val="0"/>
      <w:divBdr>
        <w:top w:val="none" w:sz="0" w:space="0" w:color="auto"/>
        <w:left w:val="none" w:sz="0" w:space="0" w:color="auto"/>
        <w:bottom w:val="none" w:sz="0" w:space="0" w:color="auto"/>
        <w:right w:val="none" w:sz="0" w:space="0" w:color="auto"/>
      </w:divBdr>
    </w:div>
    <w:div w:id="1461994374">
      <w:bodyDiv w:val="1"/>
      <w:marLeft w:val="0"/>
      <w:marRight w:val="0"/>
      <w:marTop w:val="0"/>
      <w:marBottom w:val="0"/>
      <w:divBdr>
        <w:top w:val="none" w:sz="0" w:space="0" w:color="auto"/>
        <w:left w:val="none" w:sz="0" w:space="0" w:color="auto"/>
        <w:bottom w:val="none" w:sz="0" w:space="0" w:color="auto"/>
        <w:right w:val="none" w:sz="0" w:space="0" w:color="auto"/>
      </w:divBdr>
    </w:div>
    <w:div w:id="1668553026">
      <w:bodyDiv w:val="1"/>
      <w:marLeft w:val="0"/>
      <w:marRight w:val="0"/>
      <w:marTop w:val="0"/>
      <w:marBottom w:val="0"/>
      <w:divBdr>
        <w:top w:val="none" w:sz="0" w:space="0" w:color="auto"/>
        <w:left w:val="none" w:sz="0" w:space="0" w:color="auto"/>
        <w:bottom w:val="none" w:sz="0" w:space="0" w:color="auto"/>
        <w:right w:val="none" w:sz="0" w:space="0" w:color="auto"/>
      </w:divBdr>
      <w:divsChild>
        <w:div w:id="156963653">
          <w:marLeft w:val="0"/>
          <w:marRight w:val="0"/>
          <w:marTop w:val="0"/>
          <w:marBottom w:val="0"/>
          <w:divBdr>
            <w:top w:val="none" w:sz="0" w:space="0" w:color="auto"/>
            <w:left w:val="none" w:sz="0" w:space="0" w:color="auto"/>
            <w:bottom w:val="none" w:sz="0" w:space="0" w:color="auto"/>
            <w:right w:val="none" w:sz="0" w:space="0" w:color="auto"/>
          </w:divBdr>
          <w:divsChild>
            <w:div w:id="1432360718">
              <w:marLeft w:val="0"/>
              <w:marRight w:val="300"/>
              <w:marTop w:val="0"/>
              <w:marBottom w:val="0"/>
              <w:divBdr>
                <w:top w:val="none" w:sz="0" w:space="0" w:color="auto"/>
                <w:left w:val="none" w:sz="0" w:space="0" w:color="auto"/>
                <w:bottom w:val="none" w:sz="0" w:space="0" w:color="auto"/>
                <w:right w:val="none" w:sz="0" w:space="0" w:color="auto"/>
              </w:divBdr>
            </w:div>
          </w:divsChild>
        </w:div>
        <w:div w:id="1404260380">
          <w:marLeft w:val="0"/>
          <w:marRight w:val="0"/>
          <w:marTop w:val="0"/>
          <w:marBottom w:val="0"/>
          <w:divBdr>
            <w:top w:val="none" w:sz="0" w:space="0" w:color="auto"/>
            <w:left w:val="none" w:sz="0" w:space="0" w:color="auto"/>
            <w:bottom w:val="none" w:sz="0" w:space="0" w:color="auto"/>
            <w:right w:val="none" w:sz="0" w:space="0" w:color="auto"/>
          </w:divBdr>
        </w:div>
      </w:divsChild>
    </w:div>
    <w:div w:id="1843277690">
      <w:bodyDiv w:val="1"/>
      <w:marLeft w:val="0"/>
      <w:marRight w:val="0"/>
      <w:marTop w:val="0"/>
      <w:marBottom w:val="0"/>
      <w:divBdr>
        <w:top w:val="none" w:sz="0" w:space="0" w:color="auto"/>
        <w:left w:val="none" w:sz="0" w:space="0" w:color="auto"/>
        <w:bottom w:val="none" w:sz="0" w:space="0" w:color="auto"/>
        <w:right w:val="none" w:sz="0" w:space="0" w:color="auto"/>
      </w:divBdr>
    </w:div>
    <w:div w:id="1916477212">
      <w:bodyDiv w:val="1"/>
      <w:marLeft w:val="0"/>
      <w:marRight w:val="0"/>
      <w:marTop w:val="0"/>
      <w:marBottom w:val="0"/>
      <w:divBdr>
        <w:top w:val="none" w:sz="0" w:space="0" w:color="auto"/>
        <w:left w:val="none" w:sz="0" w:space="0" w:color="auto"/>
        <w:bottom w:val="none" w:sz="0" w:space="0" w:color="auto"/>
        <w:right w:val="none" w:sz="0" w:space="0" w:color="auto"/>
      </w:divBdr>
    </w:div>
    <w:div w:id="2076973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timetoast.com/timelines/3076897" TargetMode="External"/><Relationship Id="rId18" Type="http://schemas.openxmlformats.org/officeDocument/2006/relationships/image" Target="media/image8.png"/><Relationship Id="rId26" Type="http://schemas.microsoft.com/office/2016/09/relationships/commentsIds" Target="commentsIds.xml"/><Relationship Id="rId39" Type="http://schemas.openxmlformats.org/officeDocument/2006/relationships/hyperlink" Target="https://www.gruppoiren.it/it/i-nostri-servizi/produzione-energia/iren-energia.html" TargetMode="External"/><Relationship Id="rId21" Type="http://schemas.openxmlformats.org/officeDocument/2006/relationships/image" Target="media/image9.png"/><Relationship Id="rId34" Type="http://schemas.openxmlformats.org/officeDocument/2006/relationships/hyperlink" Target="https://economiapertutti.bancaditalia.it/glossario/?letter=N" TargetMode="External"/><Relationship Id="rId42" Type="http://schemas.openxmlformats.org/officeDocument/2006/relationships/hyperlink" Target="https://www.ireti.it/" TargetMode="External"/><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jpg"/><Relationship Id="rId29" Type="http://schemas.openxmlformats.org/officeDocument/2006/relationships/hyperlink" Target="https://www.forbes.com/advisor/it/investire/cosa-sono-indici-azionari/" TargetMode="External"/><Relationship Id="rId11" Type="http://schemas.openxmlformats.org/officeDocument/2006/relationships/image" Target="media/image2.png"/><Relationship Id="rId24" Type="http://schemas.openxmlformats.org/officeDocument/2006/relationships/comments" Target="comments.xml"/><Relationship Id="rId32" Type="http://schemas.openxmlformats.org/officeDocument/2006/relationships/hyperlink" Target="https://www.bancadicherasco.it/blog/strumenti-finanziari-cosa-e-quali-sono/" TargetMode="External"/><Relationship Id="rId37" Type="http://schemas.openxmlformats.org/officeDocument/2006/relationships/hyperlink" Target="https://www.bancaditalia.it/" TargetMode="External"/><Relationship Id="rId40" Type="http://schemas.openxmlformats.org/officeDocument/2006/relationships/hyperlink" Target="https://www.irenlucegas.it/" TargetMode="External"/><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image" Target="media/image11.png"/><Relationship Id="rId28" Type="http://schemas.openxmlformats.org/officeDocument/2006/relationships/image" Target="media/image12.png"/><Relationship Id="rId36" Type="http://schemas.openxmlformats.org/officeDocument/2006/relationships/image" Target="media/image14.png"/><Relationship Id="rId49" Type="http://schemas.openxmlformats.org/officeDocument/2006/relationships/theme" Target="theme/theme1.xml"/><Relationship Id="rId10" Type="http://schemas.openxmlformats.org/officeDocument/2006/relationships/hyperlink" Target="https://www.soldionline.it/guide/mercati-finanziari/la-storia-delle-borse-valori-nel-mondo" TargetMode="External"/><Relationship Id="rId19" Type="http://schemas.openxmlformats.org/officeDocument/2006/relationships/hyperlink" Target="https://www.borsaitaliana.it/" TargetMode="External"/><Relationship Id="rId31" Type="http://schemas.openxmlformats.org/officeDocument/2006/relationships/hyperlink" Target="https://am.pictet/it/blog/articoli/guida-alla-finanza/guida-agli-strumenti-finanziari-cosa-sono-e-quali-sono-i-piu-comuni-oggi" TargetMode="External"/><Relationship Id="rId44" Type="http://schemas.openxmlformats.org/officeDocument/2006/relationships/image" Target="media/image16.jp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0.png"/><Relationship Id="rId27" Type="http://schemas.microsoft.com/office/2018/08/relationships/commentsExtensible" Target="commentsExtensible.xml"/><Relationship Id="rId30" Type="http://schemas.openxmlformats.org/officeDocument/2006/relationships/hyperlink" Target="https://www.ig.com/it/ig-academy/introduzione-ai-mercati-finanziari/what-are-stock-indices" TargetMode="External"/><Relationship Id="rId35" Type="http://schemas.openxmlformats.org/officeDocument/2006/relationships/image" Target="media/image13.png"/><Relationship Id="rId43" Type="http://schemas.openxmlformats.org/officeDocument/2006/relationships/hyperlink" Target="https://www.youtube.com/embed/k-klxTr8Hqk?feature=oembed" TargetMode="External"/><Relationship Id="rId48" Type="http://schemas.microsoft.com/office/2011/relationships/people" Target="people.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3.jpeg"/><Relationship Id="rId17" Type="http://schemas.openxmlformats.org/officeDocument/2006/relationships/image" Target="media/image7.png"/><Relationship Id="rId25" Type="http://schemas.microsoft.com/office/2011/relationships/commentsExtended" Target="commentsExtended.xml"/><Relationship Id="rId33" Type="http://schemas.openxmlformats.org/officeDocument/2006/relationships/hyperlink" Target="https://economiapertutti.bancaditalia.it/glossario/?letter=S" TargetMode="External"/><Relationship Id="rId38" Type="http://schemas.openxmlformats.org/officeDocument/2006/relationships/image" Target="media/image15.png"/><Relationship Id="rId46" Type="http://schemas.openxmlformats.org/officeDocument/2006/relationships/footer" Target="footer1.xml"/><Relationship Id="rId20" Type="http://schemas.openxmlformats.org/officeDocument/2006/relationships/hyperlink" Target="https://www.diritto.it/l-evoluzione-dei-mercati-finanziari-nel-mondo-e-in-italia/" TargetMode="External"/><Relationship Id="rId41" Type="http://schemas.openxmlformats.org/officeDocument/2006/relationships/hyperlink" Target="https://www.gruppoiren.it/it/i-nostri-servizi/ambiente/la-societa.html"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2C315C3-A4BA-490E-A496-164C34B0EF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4652</Words>
  <Characters>26522</Characters>
  <Application>Microsoft Office Word</Application>
  <DocSecurity>0</DocSecurity>
  <Lines>221</Lines>
  <Paragraphs>62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31112</CharactersWithSpaces>
  <SharedDoc>false</SharedDoc>
  <HLinks>
    <vt:vector size="66" baseType="variant">
      <vt:variant>
        <vt:i4>1114134</vt:i4>
      </vt:variant>
      <vt:variant>
        <vt:i4>30</vt:i4>
      </vt:variant>
      <vt:variant>
        <vt:i4>0</vt:i4>
      </vt:variant>
      <vt:variant>
        <vt:i4>5</vt:i4>
      </vt:variant>
      <vt:variant>
        <vt:lpwstr>https://www.bancaditalia.it/</vt:lpwstr>
      </vt:variant>
      <vt:variant>
        <vt:lpwstr/>
      </vt:variant>
      <vt:variant>
        <vt:i4>1310784</vt:i4>
      </vt:variant>
      <vt:variant>
        <vt:i4>27</vt:i4>
      </vt:variant>
      <vt:variant>
        <vt:i4>0</vt:i4>
      </vt:variant>
      <vt:variant>
        <vt:i4>5</vt:i4>
      </vt:variant>
      <vt:variant>
        <vt:lpwstr>https://economiapertutti.bancaditalia.it/glossario/?letter=D</vt:lpwstr>
      </vt:variant>
      <vt:variant>
        <vt:lpwstr/>
      </vt:variant>
      <vt:variant>
        <vt:i4>1966144</vt:i4>
      </vt:variant>
      <vt:variant>
        <vt:i4>24</vt:i4>
      </vt:variant>
      <vt:variant>
        <vt:i4>0</vt:i4>
      </vt:variant>
      <vt:variant>
        <vt:i4>5</vt:i4>
      </vt:variant>
      <vt:variant>
        <vt:lpwstr>https://economiapertutti.bancaditalia.it/glossario/?letter=N</vt:lpwstr>
      </vt:variant>
      <vt:variant>
        <vt:lpwstr/>
      </vt:variant>
      <vt:variant>
        <vt:i4>196672</vt:i4>
      </vt:variant>
      <vt:variant>
        <vt:i4>21</vt:i4>
      </vt:variant>
      <vt:variant>
        <vt:i4>0</vt:i4>
      </vt:variant>
      <vt:variant>
        <vt:i4>5</vt:i4>
      </vt:variant>
      <vt:variant>
        <vt:lpwstr>https://economiapertutti.bancaditalia.it/glossario/?letter=S</vt:lpwstr>
      </vt:variant>
      <vt:variant>
        <vt:lpwstr/>
      </vt:variant>
      <vt:variant>
        <vt:i4>3211323</vt:i4>
      </vt:variant>
      <vt:variant>
        <vt:i4>18</vt:i4>
      </vt:variant>
      <vt:variant>
        <vt:i4>0</vt:i4>
      </vt:variant>
      <vt:variant>
        <vt:i4>5</vt:i4>
      </vt:variant>
      <vt:variant>
        <vt:lpwstr>https://www.bancadicherasco.it/blog/strumenti-finanziari-cosa-e-quali-sono/</vt:lpwstr>
      </vt:variant>
      <vt:variant>
        <vt:lpwstr/>
      </vt:variant>
      <vt:variant>
        <vt:i4>8192035</vt:i4>
      </vt:variant>
      <vt:variant>
        <vt:i4>15</vt:i4>
      </vt:variant>
      <vt:variant>
        <vt:i4>0</vt:i4>
      </vt:variant>
      <vt:variant>
        <vt:i4>5</vt:i4>
      </vt:variant>
      <vt:variant>
        <vt:lpwstr>https://am.pictet/it/blog/articoli/guida-alla-finanza/guida-agli-strumenti-finanziari-cosa-sono-e-quali-sono-i-piu-comuni-oggi</vt:lpwstr>
      </vt:variant>
      <vt:variant>
        <vt:lpwstr/>
      </vt:variant>
      <vt:variant>
        <vt:i4>7274607</vt:i4>
      </vt:variant>
      <vt:variant>
        <vt:i4>12</vt:i4>
      </vt:variant>
      <vt:variant>
        <vt:i4>0</vt:i4>
      </vt:variant>
      <vt:variant>
        <vt:i4>5</vt:i4>
      </vt:variant>
      <vt:variant>
        <vt:lpwstr>https://www.ig.com/it/ig-academy/introduzione-ai-mercati-finanziari/what-are-stock-indices</vt:lpwstr>
      </vt:variant>
      <vt:variant>
        <vt:lpwstr/>
      </vt:variant>
      <vt:variant>
        <vt:i4>2162789</vt:i4>
      </vt:variant>
      <vt:variant>
        <vt:i4>9</vt:i4>
      </vt:variant>
      <vt:variant>
        <vt:i4>0</vt:i4>
      </vt:variant>
      <vt:variant>
        <vt:i4>5</vt:i4>
      </vt:variant>
      <vt:variant>
        <vt:lpwstr>https://www.forbes.com/advisor/it/investire/cosa-sono-indici-azionari/</vt:lpwstr>
      </vt:variant>
      <vt:variant>
        <vt:lpwstr/>
      </vt:variant>
      <vt:variant>
        <vt:i4>262218</vt:i4>
      </vt:variant>
      <vt:variant>
        <vt:i4>6</vt:i4>
      </vt:variant>
      <vt:variant>
        <vt:i4>0</vt:i4>
      </vt:variant>
      <vt:variant>
        <vt:i4>5</vt:i4>
      </vt:variant>
      <vt:variant>
        <vt:lpwstr>https://www.diritto.it/l-evoluzione-dei-mercati-finanziari-nel-mondo-e-in-italia/</vt:lpwstr>
      </vt:variant>
      <vt:variant>
        <vt:lpwstr/>
      </vt:variant>
      <vt:variant>
        <vt:i4>65600</vt:i4>
      </vt:variant>
      <vt:variant>
        <vt:i4>3</vt:i4>
      </vt:variant>
      <vt:variant>
        <vt:i4>0</vt:i4>
      </vt:variant>
      <vt:variant>
        <vt:i4>5</vt:i4>
      </vt:variant>
      <vt:variant>
        <vt:lpwstr>https://www.borsaitaliana.it/</vt:lpwstr>
      </vt:variant>
      <vt:variant>
        <vt:lpwstr/>
      </vt:variant>
      <vt:variant>
        <vt:i4>3342377</vt:i4>
      </vt:variant>
      <vt:variant>
        <vt:i4>0</vt:i4>
      </vt:variant>
      <vt:variant>
        <vt:i4>0</vt:i4>
      </vt:variant>
      <vt:variant>
        <vt:i4>5</vt:i4>
      </vt:variant>
      <vt:variant>
        <vt:lpwstr>https://www.soldionline.it/guide/mercati-finanziari/la-storia-delle-borse-valori-nel-mondo</vt:lpwstr>
      </vt:variant>
      <vt:variant>
        <vt:lpwstr>:~:text=La%20prima%20Borsa%20vera%20e,e%20di%20Palermo%20nel%201862.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Gabriele Carraglia</dc:creator>
  <cp:keywords/>
  <dc:description/>
  <cp:lastModifiedBy>Gabriele Carraglia</cp:lastModifiedBy>
  <cp:revision>3</cp:revision>
  <dcterms:created xsi:type="dcterms:W3CDTF">2024-06-13T19:24:00Z</dcterms:created>
  <dcterms:modified xsi:type="dcterms:W3CDTF">2024-06-13T19:41:00Z</dcterms:modified>
</cp:coreProperties>
</file>