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60"/>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4640"/>
        <w:gridCol w:w="7513"/>
      </w:tblGrid>
      <w:tr w:rsidR="00D951DE" w:rsidRPr="000F5074" w14:paraId="51F11851" w14:textId="77777777" w:rsidTr="00A745F9">
        <w:trPr>
          <w:trHeight w:val="560"/>
          <w:tblHeader/>
        </w:trPr>
        <w:tc>
          <w:tcPr>
            <w:tcW w:w="14879" w:type="dxa"/>
            <w:gridSpan w:val="3"/>
            <w:shd w:val="clear" w:color="auto" w:fill="F2F2F2" w:themeFill="background1" w:themeFillShade="F2"/>
            <w:vAlign w:val="center"/>
          </w:tcPr>
          <w:p w14:paraId="148874AF" w14:textId="77777777" w:rsidR="00D951DE" w:rsidRPr="000F5074" w:rsidRDefault="00D951DE" w:rsidP="00A745F9">
            <w:pPr>
              <w:spacing w:after="0" w:line="240" w:lineRule="auto"/>
              <w:rPr>
                <w:rFonts w:ascii="Times" w:hAnsi="Times" w:cs="Times"/>
                <w:b/>
                <w:bCs/>
                <w:color w:val="000000" w:themeColor="text1"/>
                <w:sz w:val="20"/>
                <w:szCs w:val="20"/>
              </w:rPr>
            </w:pPr>
            <w:r>
              <w:rPr>
                <w:rFonts w:ascii="Times" w:hAnsi="Times" w:cs="Times"/>
                <w:b/>
                <w:bCs/>
                <w:color w:val="000000" w:themeColor="text1"/>
                <w:sz w:val="20"/>
                <w:szCs w:val="20"/>
              </w:rPr>
              <w:t>Modulo di d</w:t>
            </w:r>
            <w:r w:rsidRPr="000F5074">
              <w:rPr>
                <w:rFonts w:ascii="Times" w:hAnsi="Times" w:cs="Times"/>
                <w:b/>
                <w:bCs/>
                <w:color w:val="000000" w:themeColor="text1"/>
                <w:sz w:val="20"/>
                <w:szCs w:val="20"/>
              </w:rPr>
              <w:t xml:space="preserve">omanda di autorizzazione come </w:t>
            </w:r>
            <w:r w:rsidRPr="000F5074">
              <w:rPr>
                <w:rFonts w:ascii="Times" w:hAnsi="Times" w:cs="Times"/>
                <w:b/>
                <w:bCs/>
                <w:sz w:val="20"/>
                <w:szCs w:val="20"/>
              </w:rPr>
              <w:t xml:space="preserve">prestatore di servizi </w:t>
            </w:r>
            <w:r>
              <w:rPr>
                <w:rFonts w:ascii="Times" w:hAnsi="Times" w:cs="Times"/>
                <w:b/>
                <w:bCs/>
                <w:sz w:val="20"/>
                <w:szCs w:val="20"/>
              </w:rPr>
              <w:t>per le</w:t>
            </w:r>
            <w:r w:rsidRPr="000F5074">
              <w:rPr>
                <w:rFonts w:ascii="Times" w:hAnsi="Times" w:cs="Times"/>
                <w:b/>
                <w:bCs/>
                <w:sz w:val="20"/>
                <w:szCs w:val="20"/>
              </w:rPr>
              <w:t xml:space="preserve"> cripto-attività</w:t>
            </w:r>
          </w:p>
        </w:tc>
      </w:tr>
      <w:tr w:rsidR="00D951DE" w:rsidRPr="000F5074" w14:paraId="6812A879" w14:textId="77777777" w:rsidTr="00A745F9">
        <w:trPr>
          <w:trHeight w:val="482"/>
        </w:trPr>
        <w:tc>
          <w:tcPr>
            <w:tcW w:w="14879" w:type="dxa"/>
            <w:gridSpan w:val="3"/>
            <w:shd w:val="clear" w:color="auto" w:fill="F2F2F2" w:themeFill="background1" w:themeFillShade="F2"/>
            <w:vAlign w:val="center"/>
          </w:tcPr>
          <w:p w14:paraId="293EC4DA" w14:textId="77777777" w:rsidR="00D951DE" w:rsidRPr="00D15CA2" w:rsidRDefault="00D951DE" w:rsidP="00A745F9">
            <w:pPr>
              <w:spacing w:before="120" w:after="120" w:line="240" w:lineRule="auto"/>
              <w:jc w:val="both"/>
              <w:rPr>
                <w:rFonts w:ascii="Times" w:hAnsi="Times" w:cs="Times"/>
                <w:b/>
                <w:bCs/>
                <w:sz w:val="20"/>
                <w:szCs w:val="20"/>
              </w:rPr>
            </w:pPr>
            <w:r w:rsidRPr="00D15CA2">
              <w:rPr>
                <w:rFonts w:ascii="Times" w:hAnsi="Times" w:cs="Times"/>
                <w:sz w:val="20"/>
                <w:szCs w:val="20"/>
              </w:rPr>
              <w:t>Conformemente agli articoli 2 e 4 del regolamento di esecuzione (UE) 2025/306 della Commissione, del 31 ottobre 2024, che stabilisce norme tecniche di attuazione per l’applicazione del regolamento (UE) 2023/1114 del Parlamento europeo e del Consiglio per quanto riguarda formati, modelli e procedure standard per le informazioni da includere nella domanda di autorizzazione come prestatore di servizi per le cripto-attività</w:t>
            </w:r>
            <w:r>
              <w:rPr>
                <w:rStyle w:val="Rimandonotaapidipagina"/>
                <w:rFonts w:ascii="Times" w:hAnsi="Times" w:cs="Times"/>
                <w:sz w:val="20"/>
                <w:szCs w:val="20"/>
              </w:rPr>
              <w:footnoteReference w:id="2"/>
            </w:r>
            <w:r>
              <w:rPr>
                <w:rFonts w:ascii="Times" w:hAnsi="Times" w:cs="Times"/>
                <w:sz w:val="20"/>
                <w:szCs w:val="20"/>
              </w:rPr>
              <w:t>.</w:t>
            </w:r>
          </w:p>
        </w:tc>
      </w:tr>
      <w:tr w:rsidR="00D951DE" w:rsidRPr="000F5074" w14:paraId="160760CD" w14:textId="77777777" w:rsidTr="00A745F9">
        <w:trPr>
          <w:trHeight w:val="482"/>
        </w:trPr>
        <w:tc>
          <w:tcPr>
            <w:tcW w:w="14879" w:type="dxa"/>
            <w:gridSpan w:val="3"/>
            <w:shd w:val="clear" w:color="auto" w:fill="F2F2F2" w:themeFill="background1" w:themeFillShade="F2"/>
            <w:vAlign w:val="center"/>
          </w:tcPr>
          <w:p w14:paraId="2ED61C86" w14:textId="77777777" w:rsidR="00D951DE" w:rsidRPr="00B950CE" w:rsidRDefault="00D951DE" w:rsidP="00A745F9">
            <w:pPr>
              <w:pStyle w:val="Default"/>
              <w:spacing w:before="120"/>
              <w:jc w:val="both"/>
              <w:rPr>
                <w:rFonts w:ascii="Times New Roman" w:hAnsi="Times New Roman" w:cs="Times New Roman"/>
                <w:sz w:val="20"/>
                <w:szCs w:val="20"/>
              </w:rPr>
            </w:pPr>
            <w:r w:rsidRPr="00B950CE">
              <w:rPr>
                <w:rFonts w:ascii="Times New Roman" w:hAnsi="Times New Roman" w:cs="Times New Roman"/>
                <w:sz w:val="20"/>
                <w:szCs w:val="20"/>
              </w:rPr>
              <w:t xml:space="preserve">Numero di riferimento </w:t>
            </w:r>
            <w:r w:rsidRPr="00B950CE">
              <w:rPr>
                <w:rFonts w:ascii="Times New Roman" w:hAnsi="Times New Roman" w:cs="Times New Roman"/>
                <w:i/>
                <w:iCs/>
                <w:sz w:val="20"/>
                <w:szCs w:val="20"/>
              </w:rPr>
              <w:t>(da compilare a cura dell’autorità competente)</w:t>
            </w:r>
            <w:r w:rsidRPr="00B950CE">
              <w:rPr>
                <w:rFonts w:ascii="Times New Roman" w:hAnsi="Times New Roman" w:cs="Times New Roman"/>
                <w:sz w:val="20"/>
                <w:szCs w:val="20"/>
              </w:rPr>
              <w:t>:</w:t>
            </w:r>
          </w:p>
          <w:p w14:paraId="6711101A" w14:textId="77777777" w:rsidR="00D951DE" w:rsidRPr="00B950CE" w:rsidRDefault="00D951DE" w:rsidP="00A745F9">
            <w:pPr>
              <w:pStyle w:val="Default"/>
              <w:jc w:val="both"/>
              <w:rPr>
                <w:rFonts w:ascii="Times New Roman" w:hAnsi="Times New Roman" w:cs="Times New Roman"/>
                <w:sz w:val="20"/>
                <w:szCs w:val="20"/>
              </w:rPr>
            </w:pPr>
          </w:p>
          <w:p w14:paraId="14A3A3F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Data:</w:t>
            </w:r>
          </w:p>
          <w:p w14:paraId="64D6117F" w14:textId="77777777" w:rsidR="00D951DE" w:rsidRPr="00B950CE" w:rsidRDefault="00D951DE" w:rsidP="00A745F9">
            <w:pPr>
              <w:pStyle w:val="Default"/>
              <w:jc w:val="both"/>
              <w:rPr>
                <w:rFonts w:ascii="Times New Roman" w:hAnsi="Times New Roman" w:cs="Times New Roman"/>
                <w:sz w:val="20"/>
                <w:szCs w:val="20"/>
              </w:rPr>
            </w:pPr>
          </w:p>
          <w:p w14:paraId="036A1C04"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DA:</w:t>
            </w:r>
          </w:p>
          <w:p w14:paraId="18C187FE"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Denominazione del richiedente:</w:t>
            </w:r>
          </w:p>
          <w:p w14:paraId="538ADA23"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Indirizzo del richiedente/della sede sociale del richiedente:</w:t>
            </w:r>
          </w:p>
          <w:p w14:paraId="10DF59C4" w14:textId="77777777" w:rsidR="00D951DE" w:rsidRPr="00B950CE" w:rsidRDefault="00D951DE" w:rsidP="00A745F9">
            <w:pPr>
              <w:pStyle w:val="Default"/>
              <w:jc w:val="both"/>
              <w:rPr>
                <w:rFonts w:ascii="Times New Roman" w:hAnsi="Times New Roman" w:cs="Times New Roman"/>
                <w:sz w:val="20"/>
                <w:szCs w:val="20"/>
              </w:rPr>
            </w:pPr>
          </w:p>
          <w:p w14:paraId="63838101"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i/>
                <w:iCs/>
                <w:sz w:val="20"/>
                <w:szCs w:val="20"/>
              </w:rPr>
              <w:t>Recapiti della persona di contatto designata</w:t>
            </w:r>
          </w:p>
          <w:p w14:paraId="46F8E42C"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Nome:</w:t>
            </w:r>
          </w:p>
          <w:p w14:paraId="55563989"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Telefono:</w:t>
            </w:r>
          </w:p>
          <w:p w14:paraId="67EA168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E-mail:</w:t>
            </w:r>
          </w:p>
          <w:p w14:paraId="1A6F507A" w14:textId="77777777" w:rsidR="00D951DE" w:rsidRPr="00B950CE" w:rsidRDefault="00D951DE" w:rsidP="00A745F9">
            <w:pPr>
              <w:pStyle w:val="Default"/>
              <w:spacing w:after="120"/>
              <w:jc w:val="both"/>
              <w:rPr>
                <w:rFonts w:ascii="Times New Roman" w:hAnsi="Times New Roman" w:cs="Times New Roman"/>
                <w:sz w:val="20"/>
                <w:szCs w:val="20"/>
              </w:rPr>
            </w:pPr>
          </w:p>
          <w:p w14:paraId="3B6F0F7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A:</w:t>
            </w:r>
          </w:p>
          <w:p w14:paraId="2EB13C72"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Stato membro (se pertinente):</w:t>
            </w:r>
          </w:p>
          <w:p w14:paraId="6068B0B0"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Autorità competente:</w:t>
            </w:r>
          </w:p>
          <w:p w14:paraId="2B4F3086"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Indirizzo:</w:t>
            </w:r>
          </w:p>
          <w:p w14:paraId="18053D54" w14:textId="77777777" w:rsidR="00D951DE" w:rsidRPr="00B950CE" w:rsidRDefault="00D951DE" w:rsidP="00A745F9">
            <w:pPr>
              <w:pStyle w:val="Default"/>
              <w:jc w:val="both"/>
              <w:rPr>
                <w:rFonts w:ascii="Times New Roman" w:hAnsi="Times New Roman" w:cs="Times New Roman"/>
                <w:sz w:val="20"/>
                <w:szCs w:val="20"/>
              </w:rPr>
            </w:pPr>
          </w:p>
          <w:p w14:paraId="1C0E7F48" w14:textId="77777777" w:rsidR="00D951DE" w:rsidRDefault="00D951DE" w:rsidP="00A745F9">
            <w:pPr>
              <w:pStyle w:val="Default"/>
              <w:jc w:val="both"/>
              <w:rPr>
                <w:rFonts w:ascii="Times New Roman" w:hAnsi="Times New Roman" w:cs="Times New Roman"/>
                <w:sz w:val="20"/>
                <w:szCs w:val="20"/>
              </w:rPr>
            </w:pPr>
          </w:p>
          <w:p w14:paraId="7335B6BC" w14:textId="77777777" w:rsidR="00D951DE" w:rsidRDefault="00D951DE" w:rsidP="00A745F9">
            <w:pPr>
              <w:pStyle w:val="Default"/>
              <w:jc w:val="both"/>
              <w:rPr>
                <w:rFonts w:ascii="Times New Roman" w:hAnsi="Times New Roman" w:cs="Times New Roman"/>
                <w:sz w:val="20"/>
                <w:szCs w:val="20"/>
              </w:rPr>
            </w:pPr>
          </w:p>
          <w:p w14:paraId="6EB0325F" w14:textId="77777777" w:rsidR="00D951DE" w:rsidRDefault="00D951DE" w:rsidP="00A745F9">
            <w:pPr>
              <w:pStyle w:val="Default"/>
              <w:jc w:val="both"/>
              <w:rPr>
                <w:rFonts w:ascii="Times New Roman" w:hAnsi="Times New Roman" w:cs="Times New Roman"/>
                <w:sz w:val="20"/>
                <w:szCs w:val="20"/>
              </w:rPr>
            </w:pPr>
          </w:p>
          <w:p w14:paraId="78894BE3" w14:textId="77777777" w:rsidR="00D951DE" w:rsidRPr="00B950CE" w:rsidRDefault="00D951DE" w:rsidP="00A745F9">
            <w:pPr>
              <w:pStyle w:val="Default"/>
              <w:jc w:val="both"/>
              <w:rPr>
                <w:rFonts w:ascii="Times New Roman" w:hAnsi="Times New Roman" w:cs="Times New Roman"/>
                <w:sz w:val="20"/>
                <w:szCs w:val="20"/>
              </w:rPr>
            </w:pPr>
          </w:p>
          <w:p w14:paraId="46313A87"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i/>
                <w:iCs/>
                <w:sz w:val="20"/>
                <w:szCs w:val="20"/>
              </w:rPr>
              <w:lastRenderedPageBreak/>
              <w:t>Recapiti del punto di contatto designato</w:t>
            </w:r>
          </w:p>
          <w:p w14:paraId="699F18A5"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Nome:</w:t>
            </w:r>
          </w:p>
          <w:p w14:paraId="17815659"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Telefono:</w:t>
            </w:r>
          </w:p>
          <w:p w14:paraId="57DA571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E-mail:</w:t>
            </w:r>
          </w:p>
          <w:p w14:paraId="6E4C077C" w14:textId="77777777" w:rsidR="00D951DE" w:rsidRPr="00B950CE" w:rsidRDefault="00D951DE" w:rsidP="00A745F9">
            <w:pPr>
              <w:pStyle w:val="Default"/>
              <w:spacing w:after="120"/>
              <w:jc w:val="both"/>
              <w:rPr>
                <w:rFonts w:ascii="Times New Roman" w:hAnsi="Times New Roman" w:cs="Times New Roman"/>
                <w:sz w:val="20"/>
                <w:szCs w:val="20"/>
              </w:rPr>
            </w:pPr>
          </w:p>
          <w:p w14:paraId="75C8231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Noi, [</w:t>
            </w:r>
            <w:r w:rsidRPr="00B950CE">
              <w:rPr>
                <w:rFonts w:ascii="Times New Roman" w:hAnsi="Times New Roman" w:cs="Times New Roman"/>
                <w:i/>
                <w:iCs/>
                <w:sz w:val="20"/>
                <w:szCs w:val="20"/>
              </w:rPr>
              <w:t>inserire il nome del richiedente</w:t>
            </w:r>
            <w:r w:rsidRPr="00B950CE">
              <w:rPr>
                <w:rFonts w:ascii="Times New Roman" w:hAnsi="Times New Roman" w:cs="Times New Roman"/>
                <w:sz w:val="20"/>
                <w:szCs w:val="20"/>
              </w:rPr>
              <w:t>], dichiariamo che le informazioni presentate sono veritiere, accurate, complete, aggiornate e non fuorvianti. Nel caso in cui alcune informazioni si riferiscano unicamente a una data futura, ciò è esplicitamente indicato nella domanda e ci impegniamo a comunicare per iscritto e senza indugio all’autorità se tali informazioni dovessero risultare inesatte, incomplete o fuorvianti. Ci impegniamo altresì a comunicare all’autorità competente qualsiasi modifica delle informazioni fornite nel presente modulo.</w:t>
            </w:r>
          </w:p>
          <w:p w14:paraId="19F74416" w14:textId="77777777" w:rsidR="00D951DE" w:rsidRPr="00B950CE" w:rsidRDefault="00D951DE" w:rsidP="00A745F9">
            <w:pPr>
              <w:pStyle w:val="Default"/>
              <w:spacing w:after="120"/>
              <w:jc w:val="both"/>
              <w:rPr>
                <w:rFonts w:ascii="Times New Roman" w:hAnsi="Times New Roman" w:cs="Times New Roman"/>
                <w:sz w:val="20"/>
                <w:szCs w:val="20"/>
              </w:rPr>
            </w:pPr>
          </w:p>
          <w:p w14:paraId="3DFBB6EA"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i/>
                <w:iCs/>
                <w:sz w:val="20"/>
                <w:szCs w:val="20"/>
              </w:rPr>
              <w:t>Responsabile della preparazione della domanda</w:t>
            </w:r>
          </w:p>
          <w:p w14:paraId="7CA50E50"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Nome:</w:t>
            </w:r>
          </w:p>
          <w:p w14:paraId="63231510"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Qualifica/posizione:</w:t>
            </w:r>
          </w:p>
          <w:p w14:paraId="53EBE658"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Telefono:</w:t>
            </w:r>
          </w:p>
          <w:p w14:paraId="1BF0AE83"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 xml:space="preserve">E-mail: </w:t>
            </w:r>
          </w:p>
          <w:p w14:paraId="7B63AAAF" w14:textId="77777777" w:rsidR="00D951DE" w:rsidRPr="00B950CE" w:rsidRDefault="00D951DE" w:rsidP="00A745F9">
            <w:pPr>
              <w:pStyle w:val="Default"/>
              <w:jc w:val="both"/>
              <w:rPr>
                <w:rFonts w:ascii="Times New Roman" w:hAnsi="Times New Roman" w:cs="Times New Roman"/>
                <w:color w:val="auto"/>
                <w:sz w:val="20"/>
                <w:szCs w:val="20"/>
              </w:rPr>
            </w:pPr>
          </w:p>
          <w:p w14:paraId="3997E646" w14:textId="77777777" w:rsidR="00D951DE" w:rsidRPr="00B950CE" w:rsidRDefault="00D951DE" w:rsidP="00A745F9">
            <w:pPr>
              <w:pStyle w:val="Default"/>
              <w:spacing w:after="120"/>
              <w:jc w:val="both"/>
              <w:rPr>
                <w:rFonts w:ascii="Times New Roman" w:hAnsi="Times New Roman" w:cs="Times New Roman"/>
                <w:sz w:val="20"/>
                <w:szCs w:val="20"/>
              </w:rPr>
            </w:pPr>
            <w:r w:rsidRPr="00B950CE">
              <w:rPr>
                <w:rFonts w:ascii="Times New Roman" w:hAnsi="Times New Roman" w:cs="Times New Roman"/>
                <w:sz w:val="20"/>
                <w:szCs w:val="20"/>
              </w:rPr>
              <w:t>— Tipo di comunicazione (contrassegnare la casella pertinente)</w:t>
            </w:r>
          </w:p>
          <w:p w14:paraId="1369D816" w14:textId="77777777" w:rsidR="00D951DE" w:rsidRDefault="00D951DE" w:rsidP="00A745F9">
            <w:pPr>
              <w:spacing w:after="0" w:line="240" w:lineRule="auto"/>
              <w:jc w:val="both"/>
              <w:rPr>
                <w:rFonts w:ascii="Times New Roman" w:hAnsi="Times New Roman" w:cs="Times New Roman"/>
                <w:sz w:val="20"/>
                <w:szCs w:val="20"/>
              </w:rPr>
            </w:pPr>
            <w:r w:rsidRPr="00B950CE">
              <w:rPr>
                <w:rFonts w:ascii="Cambria Math" w:hAnsi="Cambria Math" w:cs="Cambria Math"/>
                <w:sz w:val="20"/>
                <w:szCs w:val="20"/>
              </w:rPr>
              <w:t>◻</w:t>
            </w:r>
            <w:r w:rsidRPr="00B950CE">
              <w:rPr>
                <w:rFonts w:ascii="Times New Roman" w:hAnsi="Times New Roman" w:cs="Times New Roman"/>
                <w:sz w:val="20"/>
                <w:szCs w:val="20"/>
              </w:rPr>
              <w:t>Autorizzazione</w:t>
            </w:r>
            <w:r w:rsidRPr="00B950CE">
              <w:rPr>
                <w:rFonts w:ascii="Times New Roman" w:hAnsi="Times New Roman" w:cs="Times New Roman"/>
                <w:sz w:val="20"/>
                <w:szCs w:val="20"/>
              </w:rPr>
              <w:br/>
            </w:r>
            <w:r w:rsidRPr="00B950CE">
              <w:rPr>
                <w:rFonts w:ascii="Cambria Math" w:hAnsi="Cambria Math" w:cs="Cambria Math"/>
                <w:sz w:val="20"/>
                <w:szCs w:val="20"/>
              </w:rPr>
              <w:t>◻</w:t>
            </w:r>
            <w:r w:rsidRPr="00B950CE">
              <w:rPr>
                <w:rFonts w:ascii="Times New Roman" w:hAnsi="Times New Roman" w:cs="Times New Roman"/>
                <w:sz w:val="20"/>
                <w:szCs w:val="20"/>
              </w:rPr>
              <w:t>Comunicazione delle modifiche ai sensi dell’articolo 4, paragrafo 1, del regolamento di esecuzione (UE) 2025/306 (se si comunicano modifiche, compilare solo le parti pertinenti del modulo interessate da dette modifiche).</w:t>
            </w:r>
          </w:p>
          <w:p w14:paraId="5E937080" w14:textId="77777777" w:rsidR="00D951DE" w:rsidRDefault="00D951DE" w:rsidP="00A745F9">
            <w:pPr>
              <w:spacing w:after="0" w:line="240" w:lineRule="auto"/>
              <w:jc w:val="both"/>
              <w:rPr>
                <w:rFonts w:ascii="Times New Roman" w:hAnsi="Times New Roman" w:cs="Times New Roman"/>
                <w:sz w:val="20"/>
                <w:szCs w:val="20"/>
              </w:rPr>
            </w:pPr>
          </w:p>
          <w:p w14:paraId="594FB44B" w14:textId="77777777" w:rsidR="00D951DE" w:rsidRDefault="00D951DE" w:rsidP="00A745F9">
            <w:pPr>
              <w:spacing w:after="0" w:line="240" w:lineRule="auto"/>
              <w:jc w:val="both"/>
              <w:rPr>
                <w:rFonts w:ascii="Times New Roman" w:hAnsi="Times New Roman" w:cs="Times New Roman"/>
                <w:sz w:val="20"/>
                <w:szCs w:val="20"/>
              </w:rPr>
            </w:pPr>
          </w:p>
          <w:p w14:paraId="61C47A42" w14:textId="77777777" w:rsidR="00D951DE" w:rsidRDefault="00D951DE" w:rsidP="00A745F9">
            <w:pPr>
              <w:spacing w:after="0" w:line="240" w:lineRule="auto"/>
              <w:jc w:val="both"/>
              <w:rPr>
                <w:rFonts w:ascii="Times" w:hAnsi="Times" w:cs="Times"/>
                <w:b/>
                <w:bCs/>
              </w:rPr>
            </w:pPr>
          </w:p>
          <w:p w14:paraId="49932E16" w14:textId="77777777" w:rsidR="00D951DE" w:rsidRDefault="00D951DE" w:rsidP="00A745F9">
            <w:pPr>
              <w:spacing w:after="0" w:line="240" w:lineRule="auto"/>
              <w:jc w:val="both"/>
              <w:rPr>
                <w:rFonts w:ascii="Times" w:hAnsi="Times" w:cs="Times"/>
                <w:b/>
                <w:bCs/>
              </w:rPr>
            </w:pPr>
          </w:p>
          <w:p w14:paraId="2E5BE25A" w14:textId="77777777" w:rsidR="00D951DE" w:rsidRPr="00E313C3" w:rsidRDefault="00D951DE" w:rsidP="00A745F9">
            <w:pPr>
              <w:spacing w:after="0" w:line="240" w:lineRule="auto"/>
              <w:jc w:val="both"/>
              <w:rPr>
                <w:rFonts w:ascii="Times" w:hAnsi="Times" w:cs="Times"/>
                <w:b/>
                <w:bCs/>
              </w:rPr>
            </w:pPr>
          </w:p>
        </w:tc>
      </w:tr>
      <w:tr w:rsidR="00D951DE" w:rsidRPr="000F5074" w14:paraId="4D353067" w14:textId="77777777" w:rsidTr="00A745F9">
        <w:trPr>
          <w:trHeight w:val="482"/>
        </w:trPr>
        <w:tc>
          <w:tcPr>
            <w:tcW w:w="14879" w:type="dxa"/>
            <w:gridSpan w:val="3"/>
            <w:shd w:val="clear" w:color="auto" w:fill="2E74B5" w:themeFill="accent1" w:themeFillShade="BF"/>
            <w:vAlign w:val="center"/>
          </w:tcPr>
          <w:p w14:paraId="3419649A" w14:textId="77777777" w:rsidR="00D951DE" w:rsidRPr="00D456BD" w:rsidRDefault="00D951DE" w:rsidP="00A745F9">
            <w:pPr>
              <w:pStyle w:val="Paragrafoelenco"/>
              <w:numPr>
                <w:ilvl w:val="0"/>
                <w:numId w:val="31"/>
              </w:numPr>
              <w:spacing w:after="0" w:line="240" w:lineRule="auto"/>
              <w:jc w:val="both"/>
              <w:rPr>
                <w:rFonts w:ascii="Times" w:hAnsi="Times" w:cs="Times"/>
                <w:b/>
                <w:bCs/>
                <w:color w:val="FFFFFF" w:themeColor="background1"/>
              </w:rPr>
            </w:pPr>
            <w:r w:rsidRPr="00D456BD">
              <w:rPr>
                <w:rFonts w:ascii="Times" w:hAnsi="Times" w:cs="Times"/>
                <w:b/>
                <w:bCs/>
                <w:color w:val="FFFFFF" w:themeColor="background1"/>
              </w:rPr>
              <w:lastRenderedPageBreak/>
              <w:t xml:space="preserve">INFORMAZIONI </w:t>
            </w:r>
            <w:r>
              <w:rPr>
                <w:rFonts w:ascii="Times" w:hAnsi="Times" w:cs="Times"/>
                <w:b/>
                <w:bCs/>
                <w:color w:val="FFFFFF" w:themeColor="background1"/>
              </w:rPr>
              <w:t>DI CARATTERE GENERALE</w:t>
            </w:r>
            <w:r w:rsidRPr="00D456BD">
              <w:rPr>
                <w:rFonts w:ascii="Times" w:hAnsi="Times" w:cs="Times"/>
                <w:b/>
                <w:bCs/>
                <w:color w:val="FFFFFF" w:themeColor="background1"/>
              </w:rPr>
              <w:t xml:space="preserve"> </w:t>
            </w:r>
          </w:p>
        </w:tc>
      </w:tr>
      <w:tr w:rsidR="00D951DE" w:rsidRPr="00985984" w14:paraId="0A23B531" w14:textId="77777777" w:rsidTr="00111686">
        <w:trPr>
          <w:trHeight w:val="624"/>
        </w:trPr>
        <w:tc>
          <w:tcPr>
            <w:tcW w:w="2726" w:type="dxa"/>
            <w:shd w:val="clear" w:color="auto" w:fill="F2F2F2" w:themeFill="background1" w:themeFillShade="F2"/>
            <w:vAlign w:val="center"/>
          </w:tcPr>
          <w:p w14:paraId="0C8EABB3"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a) </w:t>
            </w:r>
            <w:r w:rsidRPr="000F5074">
              <w:rPr>
                <w:rFonts w:ascii="Times" w:hAnsi="Times" w:cs="Times"/>
                <w:b/>
                <w:bCs/>
                <w:sz w:val="20"/>
                <w:szCs w:val="20"/>
              </w:rPr>
              <w:t>Denominazione</w:t>
            </w:r>
            <w:r>
              <w:rPr>
                <w:rFonts w:ascii="Times" w:hAnsi="Times" w:cs="Times"/>
                <w:b/>
                <w:bCs/>
                <w:sz w:val="20"/>
                <w:szCs w:val="20"/>
              </w:rPr>
              <w:t xml:space="preserve"> legale</w:t>
            </w:r>
            <w:r w:rsidRPr="000F5074">
              <w:rPr>
                <w:rFonts w:ascii="Times" w:hAnsi="Times" w:cs="Times"/>
                <w:b/>
                <w:bCs/>
                <w:sz w:val="20"/>
                <w:szCs w:val="20"/>
              </w:rPr>
              <w:t xml:space="preserve"> </w:t>
            </w:r>
            <w:r>
              <w:rPr>
                <w:rFonts w:ascii="Times" w:hAnsi="Times" w:cs="Times"/>
                <w:b/>
                <w:bCs/>
                <w:sz w:val="20"/>
                <w:szCs w:val="20"/>
              </w:rPr>
              <w:t>e contatti</w:t>
            </w:r>
          </w:p>
        </w:tc>
        <w:tc>
          <w:tcPr>
            <w:tcW w:w="4640" w:type="dxa"/>
            <w:shd w:val="clear" w:color="auto" w:fill="F2F2F2" w:themeFill="background1" w:themeFillShade="F2"/>
            <w:vAlign w:val="center"/>
          </w:tcPr>
          <w:p w14:paraId="585DA20E" w14:textId="77777777" w:rsidR="00D951DE" w:rsidRPr="001072BF" w:rsidRDefault="00D951DE" w:rsidP="00A745F9">
            <w:pPr>
              <w:spacing w:after="0" w:line="240" w:lineRule="auto"/>
              <w:jc w:val="both"/>
              <w:rPr>
                <w:rFonts w:ascii="Times" w:hAnsi="Times" w:cs="Times"/>
                <w:sz w:val="20"/>
                <w:szCs w:val="20"/>
              </w:rPr>
            </w:pPr>
            <w:r w:rsidRPr="00154E02">
              <w:rPr>
                <w:rFonts w:ascii="Times" w:hAnsi="Times" w:cs="Times"/>
                <w:sz w:val="20"/>
                <w:szCs w:val="20"/>
              </w:rPr>
              <w:t>la denominazione legale, il numero di telefono e l’indirizzo di posta elettronica del richiedente</w:t>
            </w:r>
            <w:r>
              <w:rPr>
                <w:rFonts w:ascii="Times" w:hAnsi="Times" w:cs="Times"/>
                <w:sz w:val="20"/>
                <w:szCs w:val="20"/>
              </w:rPr>
              <w:t>;</w:t>
            </w:r>
          </w:p>
        </w:tc>
        <w:tc>
          <w:tcPr>
            <w:tcW w:w="7513" w:type="dxa"/>
            <w:shd w:val="clear" w:color="auto" w:fill="FFFFFF" w:themeFill="background1"/>
          </w:tcPr>
          <w:p w14:paraId="1B1EDD7D"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985984" w14:paraId="0DBB7ABE" w14:textId="77777777" w:rsidTr="00111686">
        <w:trPr>
          <w:trHeight w:val="624"/>
        </w:trPr>
        <w:tc>
          <w:tcPr>
            <w:tcW w:w="2726" w:type="dxa"/>
            <w:shd w:val="clear" w:color="auto" w:fill="F2F2F2" w:themeFill="background1" w:themeFillShade="F2"/>
            <w:vAlign w:val="center"/>
          </w:tcPr>
          <w:p w14:paraId="16EAD5CC" w14:textId="77777777" w:rsidR="00D951DE" w:rsidRPr="000F5074" w:rsidRDefault="00D951DE" w:rsidP="00A745F9">
            <w:pPr>
              <w:spacing w:after="0" w:line="240" w:lineRule="auto"/>
              <w:rPr>
                <w:rFonts w:ascii="Times" w:hAnsi="Times" w:cs="Times"/>
                <w:b/>
                <w:bCs/>
                <w:sz w:val="20"/>
                <w:szCs w:val="20"/>
              </w:rPr>
            </w:pPr>
            <w:r>
              <w:rPr>
                <w:rFonts w:ascii="Times" w:hAnsi="Times" w:cs="Times"/>
                <w:b/>
                <w:bCs/>
                <w:sz w:val="20"/>
                <w:szCs w:val="20"/>
              </w:rPr>
              <w:t>b) Denominazione commerciale</w:t>
            </w:r>
          </w:p>
        </w:tc>
        <w:tc>
          <w:tcPr>
            <w:tcW w:w="4640" w:type="dxa"/>
            <w:shd w:val="clear" w:color="auto" w:fill="F2F2F2" w:themeFill="background1" w:themeFillShade="F2"/>
            <w:vAlign w:val="center"/>
          </w:tcPr>
          <w:p w14:paraId="4A18A10A" w14:textId="77777777" w:rsidR="00D951DE" w:rsidRPr="00BF6CB3" w:rsidRDefault="00D951DE" w:rsidP="00A745F9">
            <w:pPr>
              <w:spacing w:after="0" w:line="240" w:lineRule="auto"/>
              <w:jc w:val="both"/>
              <w:rPr>
                <w:rFonts w:ascii="Times" w:hAnsi="Times" w:cs="Times"/>
                <w:i/>
                <w:iCs/>
                <w:sz w:val="20"/>
                <w:szCs w:val="20"/>
              </w:rPr>
            </w:pPr>
            <w:r w:rsidRPr="00154E02">
              <w:rPr>
                <w:rFonts w:ascii="Times" w:hAnsi="Times" w:cs="Times"/>
                <w:sz w:val="20"/>
                <w:szCs w:val="20"/>
              </w:rPr>
              <w:t>qualsiasi denominazione commerciale utilizzata o che sarà utilizzata dal richiedente</w:t>
            </w:r>
            <w:r>
              <w:rPr>
                <w:rFonts w:ascii="Times" w:hAnsi="Times" w:cs="Times"/>
                <w:sz w:val="20"/>
                <w:szCs w:val="20"/>
              </w:rPr>
              <w:t>;</w:t>
            </w:r>
          </w:p>
        </w:tc>
        <w:tc>
          <w:tcPr>
            <w:tcW w:w="7513" w:type="dxa"/>
            <w:shd w:val="clear" w:color="auto" w:fill="FFFFFF" w:themeFill="background1"/>
            <w:vAlign w:val="center"/>
          </w:tcPr>
          <w:p w14:paraId="2DE6E3BC"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6F868155" w14:textId="77777777" w:rsidTr="00111686">
        <w:trPr>
          <w:trHeight w:val="624"/>
        </w:trPr>
        <w:tc>
          <w:tcPr>
            <w:tcW w:w="2726" w:type="dxa"/>
            <w:shd w:val="clear" w:color="auto" w:fill="F2F2F2" w:themeFill="background1" w:themeFillShade="F2"/>
            <w:vAlign w:val="center"/>
          </w:tcPr>
          <w:p w14:paraId="6C607D86"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t>c) Codice LEI</w:t>
            </w:r>
          </w:p>
        </w:tc>
        <w:tc>
          <w:tcPr>
            <w:tcW w:w="4640" w:type="dxa"/>
            <w:shd w:val="clear" w:color="auto" w:fill="F2F2F2" w:themeFill="background1" w:themeFillShade="F2"/>
            <w:vAlign w:val="center"/>
          </w:tcPr>
          <w:p w14:paraId="4CBC67DA" w14:textId="77777777" w:rsidR="00D951DE" w:rsidRPr="000F5074" w:rsidRDefault="00D951DE" w:rsidP="00A745F9">
            <w:pPr>
              <w:spacing w:after="0" w:line="240" w:lineRule="auto"/>
              <w:jc w:val="both"/>
              <w:rPr>
                <w:rFonts w:ascii="Times" w:hAnsi="Times" w:cs="Times"/>
                <w:sz w:val="20"/>
                <w:szCs w:val="20"/>
              </w:rPr>
            </w:pPr>
            <w:r>
              <w:rPr>
                <w:rFonts w:ascii="Times" w:hAnsi="Times" w:cs="Times"/>
                <w:sz w:val="20"/>
                <w:szCs w:val="20"/>
              </w:rPr>
              <w:t>i</w:t>
            </w:r>
            <w:r w:rsidRPr="000F5074">
              <w:rPr>
                <w:rFonts w:ascii="Times" w:hAnsi="Times" w:cs="Times"/>
                <w:sz w:val="20"/>
                <w:szCs w:val="20"/>
              </w:rPr>
              <w:t xml:space="preserve">dentificativo </w:t>
            </w:r>
            <w:r>
              <w:rPr>
                <w:rFonts w:ascii="Times" w:hAnsi="Times" w:cs="Times"/>
                <w:sz w:val="20"/>
                <w:szCs w:val="20"/>
              </w:rPr>
              <w:t>della persona giuridica (LEI)</w:t>
            </w:r>
            <w:r w:rsidRPr="000F5074">
              <w:rPr>
                <w:rFonts w:ascii="Times" w:hAnsi="Times" w:cs="Times"/>
                <w:sz w:val="20"/>
                <w:szCs w:val="20"/>
              </w:rPr>
              <w:t xml:space="preserve"> del richiedente</w:t>
            </w:r>
            <w:r>
              <w:rPr>
                <w:rFonts w:ascii="Times" w:hAnsi="Times" w:cs="Times"/>
                <w:sz w:val="20"/>
                <w:szCs w:val="20"/>
              </w:rPr>
              <w:t>;</w:t>
            </w:r>
          </w:p>
        </w:tc>
        <w:tc>
          <w:tcPr>
            <w:tcW w:w="7513" w:type="dxa"/>
            <w:shd w:val="clear" w:color="auto" w:fill="FFFFFF" w:themeFill="background1"/>
            <w:vAlign w:val="center"/>
          </w:tcPr>
          <w:p w14:paraId="72E8FEDE"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BC4F2B4" w14:textId="77777777" w:rsidTr="00F41F42">
        <w:trPr>
          <w:trHeight w:val="624"/>
        </w:trPr>
        <w:tc>
          <w:tcPr>
            <w:tcW w:w="2726" w:type="dxa"/>
            <w:vMerge w:val="restart"/>
            <w:shd w:val="clear" w:color="auto" w:fill="F2F2F2" w:themeFill="background1" w:themeFillShade="F2"/>
            <w:vAlign w:val="center"/>
          </w:tcPr>
          <w:p w14:paraId="161C8F4B"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t>d) Punto di contatto designato o persona di contatto designata</w:t>
            </w:r>
          </w:p>
        </w:tc>
        <w:tc>
          <w:tcPr>
            <w:tcW w:w="4640" w:type="dxa"/>
            <w:shd w:val="clear" w:color="auto" w:fill="F2F2F2" w:themeFill="background1" w:themeFillShade="F2"/>
            <w:vAlign w:val="center"/>
          </w:tcPr>
          <w:p w14:paraId="60B1FBFF" w14:textId="77777777" w:rsidR="00D951DE" w:rsidRDefault="00D951DE" w:rsidP="00A745F9">
            <w:pPr>
              <w:spacing w:after="0" w:line="240" w:lineRule="auto"/>
              <w:jc w:val="both"/>
              <w:rPr>
                <w:rFonts w:ascii="Times" w:hAnsi="Times" w:cs="Times"/>
                <w:sz w:val="20"/>
                <w:szCs w:val="20"/>
              </w:rPr>
            </w:pPr>
            <w:r>
              <w:rPr>
                <w:rFonts w:ascii="Times" w:hAnsi="Times" w:cs="Times"/>
                <w:sz w:val="20"/>
                <w:szCs w:val="20"/>
              </w:rPr>
              <w:t>n</w:t>
            </w:r>
            <w:r w:rsidRPr="000F5074">
              <w:rPr>
                <w:rFonts w:ascii="Times" w:hAnsi="Times" w:cs="Times"/>
                <w:sz w:val="20"/>
                <w:szCs w:val="20"/>
              </w:rPr>
              <w:t xml:space="preserve">ome </w:t>
            </w:r>
            <w:r>
              <w:rPr>
                <w:rFonts w:ascii="Times" w:hAnsi="Times" w:cs="Times"/>
                <w:sz w:val="20"/>
                <w:szCs w:val="20"/>
              </w:rPr>
              <w:t>completo;</w:t>
            </w:r>
          </w:p>
        </w:tc>
        <w:tc>
          <w:tcPr>
            <w:tcW w:w="7513" w:type="dxa"/>
            <w:shd w:val="clear" w:color="auto" w:fill="FFFFFF" w:themeFill="background1"/>
            <w:vAlign w:val="center"/>
          </w:tcPr>
          <w:p w14:paraId="271D57FB" w14:textId="576CCAD6"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798C75C" w14:textId="77777777" w:rsidTr="00F41F42">
        <w:trPr>
          <w:trHeight w:val="624"/>
        </w:trPr>
        <w:tc>
          <w:tcPr>
            <w:tcW w:w="2726" w:type="dxa"/>
            <w:vMerge/>
            <w:shd w:val="clear" w:color="auto" w:fill="F2F2F2" w:themeFill="background1" w:themeFillShade="F2"/>
            <w:vAlign w:val="center"/>
          </w:tcPr>
          <w:p w14:paraId="3D9FB7E9" w14:textId="77777777" w:rsidR="00D951DE"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vAlign w:val="center"/>
          </w:tcPr>
          <w:p w14:paraId="335F3B4A" w14:textId="77777777" w:rsidR="00D951DE" w:rsidRDefault="00D951DE" w:rsidP="00A745F9">
            <w:pPr>
              <w:spacing w:after="0" w:line="240" w:lineRule="auto"/>
              <w:jc w:val="both"/>
              <w:rPr>
                <w:rFonts w:ascii="Times" w:hAnsi="Times" w:cs="Times"/>
                <w:sz w:val="20"/>
                <w:szCs w:val="20"/>
              </w:rPr>
            </w:pPr>
            <w:r>
              <w:rPr>
                <w:rFonts w:ascii="Times" w:hAnsi="Times" w:cs="Times"/>
                <w:sz w:val="20"/>
                <w:szCs w:val="20"/>
              </w:rPr>
              <w:t>f</w:t>
            </w:r>
            <w:r w:rsidRPr="000F5074">
              <w:rPr>
                <w:rFonts w:ascii="Times" w:hAnsi="Times" w:cs="Times"/>
                <w:sz w:val="20"/>
                <w:szCs w:val="20"/>
              </w:rPr>
              <w:t>unzione</w:t>
            </w:r>
            <w:r>
              <w:rPr>
                <w:rFonts w:ascii="Times" w:hAnsi="Times" w:cs="Times"/>
                <w:sz w:val="20"/>
                <w:szCs w:val="20"/>
              </w:rPr>
              <w:t>;</w:t>
            </w:r>
          </w:p>
        </w:tc>
        <w:tc>
          <w:tcPr>
            <w:tcW w:w="7513" w:type="dxa"/>
            <w:shd w:val="clear" w:color="auto" w:fill="FFFFFF" w:themeFill="background1"/>
            <w:vAlign w:val="center"/>
          </w:tcPr>
          <w:p w14:paraId="677250F5"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7296F2B4" w14:textId="77777777" w:rsidTr="00111686">
        <w:trPr>
          <w:trHeight w:val="624"/>
        </w:trPr>
        <w:tc>
          <w:tcPr>
            <w:tcW w:w="2726" w:type="dxa"/>
            <w:vMerge/>
            <w:shd w:val="clear" w:color="auto" w:fill="F2F2F2" w:themeFill="background1" w:themeFillShade="F2"/>
            <w:vAlign w:val="center"/>
          </w:tcPr>
          <w:p w14:paraId="2B24CDAB" w14:textId="77777777" w:rsidR="00D951DE"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vAlign w:val="center"/>
          </w:tcPr>
          <w:p w14:paraId="3DF2EA45" w14:textId="77777777" w:rsidR="00D951DE" w:rsidRDefault="00D951DE" w:rsidP="00A745F9">
            <w:pPr>
              <w:spacing w:after="0" w:line="240" w:lineRule="auto"/>
              <w:jc w:val="both"/>
              <w:rPr>
                <w:rFonts w:ascii="Times" w:hAnsi="Times" w:cs="Times"/>
                <w:sz w:val="20"/>
                <w:szCs w:val="20"/>
              </w:rPr>
            </w:pPr>
            <w:r>
              <w:rPr>
                <w:rFonts w:ascii="Times" w:hAnsi="Times" w:cs="Times"/>
                <w:sz w:val="20"/>
                <w:szCs w:val="20"/>
              </w:rPr>
              <w:t>i</w:t>
            </w:r>
            <w:r w:rsidRPr="000F5074">
              <w:rPr>
                <w:rFonts w:ascii="Times" w:hAnsi="Times" w:cs="Times"/>
                <w:sz w:val="20"/>
                <w:szCs w:val="20"/>
              </w:rPr>
              <w:t xml:space="preserve">ndirizzo </w:t>
            </w:r>
            <w:r>
              <w:rPr>
                <w:rFonts w:ascii="Times" w:hAnsi="Times" w:cs="Times"/>
                <w:sz w:val="20"/>
                <w:szCs w:val="20"/>
              </w:rPr>
              <w:t>di posta elettronica;</w:t>
            </w:r>
          </w:p>
        </w:tc>
        <w:tc>
          <w:tcPr>
            <w:tcW w:w="7513" w:type="dxa"/>
            <w:shd w:val="clear" w:color="auto" w:fill="FFFFFF" w:themeFill="background1"/>
            <w:vAlign w:val="center"/>
          </w:tcPr>
          <w:p w14:paraId="2B12280B"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1A5B905B" w14:textId="77777777" w:rsidTr="00111686">
        <w:trPr>
          <w:trHeight w:val="624"/>
        </w:trPr>
        <w:tc>
          <w:tcPr>
            <w:tcW w:w="2726" w:type="dxa"/>
            <w:vMerge/>
            <w:shd w:val="clear" w:color="auto" w:fill="F2F2F2" w:themeFill="background1" w:themeFillShade="F2"/>
            <w:vAlign w:val="center"/>
          </w:tcPr>
          <w:p w14:paraId="23E9D2E3" w14:textId="77777777" w:rsidR="00D951DE"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vAlign w:val="center"/>
          </w:tcPr>
          <w:p w14:paraId="5C4C0CBB" w14:textId="77777777" w:rsidR="00D951DE" w:rsidRDefault="00D951DE" w:rsidP="00A745F9">
            <w:pPr>
              <w:spacing w:after="0" w:line="240" w:lineRule="auto"/>
              <w:jc w:val="both"/>
              <w:rPr>
                <w:rFonts w:ascii="Times" w:hAnsi="Times" w:cs="Times"/>
                <w:sz w:val="20"/>
                <w:szCs w:val="20"/>
              </w:rPr>
            </w:pPr>
            <w:r>
              <w:rPr>
                <w:rFonts w:ascii="Times" w:hAnsi="Times" w:cs="Times"/>
                <w:sz w:val="20"/>
                <w:szCs w:val="20"/>
              </w:rPr>
              <w:t>n</w:t>
            </w:r>
            <w:r w:rsidRPr="00CF64E8">
              <w:rPr>
                <w:rFonts w:ascii="Times" w:hAnsi="Times" w:cs="Times"/>
                <w:sz w:val="20"/>
                <w:szCs w:val="20"/>
              </w:rPr>
              <w:t>umero di telefono</w:t>
            </w:r>
            <w:r>
              <w:rPr>
                <w:rFonts w:ascii="Times" w:hAnsi="Times" w:cs="Times"/>
                <w:sz w:val="20"/>
                <w:szCs w:val="20"/>
              </w:rPr>
              <w:t>;</w:t>
            </w:r>
          </w:p>
        </w:tc>
        <w:tc>
          <w:tcPr>
            <w:tcW w:w="7513" w:type="dxa"/>
            <w:shd w:val="clear" w:color="auto" w:fill="FFFFFF" w:themeFill="background1"/>
            <w:vAlign w:val="center"/>
          </w:tcPr>
          <w:p w14:paraId="6C913999"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3E006F3A" w14:textId="77777777" w:rsidTr="00111686">
        <w:trPr>
          <w:trHeight w:val="624"/>
        </w:trPr>
        <w:tc>
          <w:tcPr>
            <w:tcW w:w="2726" w:type="dxa"/>
            <w:shd w:val="clear" w:color="auto" w:fill="F2F2F2" w:themeFill="background1" w:themeFillShade="F2"/>
            <w:vAlign w:val="center"/>
          </w:tcPr>
          <w:p w14:paraId="45BDAA95"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t>e)</w:t>
            </w:r>
            <w:r w:rsidRPr="000F5074">
              <w:rPr>
                <w:rFonts w:ascii="Times" w:hAnsi="Times" w:cs="Times"/>
                <w:b/>
                <w:bCs/>
                <w:sz w:val="20"/>
                <w:szCs w:val="20"/>
              </w:rPr>
              <w:t xml:space="preserve"> Forma giuridica del richiedente</w:t>
            </w:r>
            <w:r>
              <w:rPr>
                <w:rFonts w:ascii="Times" w:hAnsi="Times" w:cs="Times"/>
                <w:b/>
                <w:bCs/>
                <w:sz w:val="20"/>
                <w:szCs w:val="20"/>
              </w:rPr>
              <w:t xml:space="preserve"> e numero di identificazione nazionale</w:t>
            </w:r>
          </w:p>
        </w:tc>
        <w:tc>
          <w:tcPr>
            <w:tcW w:w="4640" w:type="dxa"/>
            <w:shd w:val="clear" w:color="auto" w:fill="F2F2F2" w:themeFill="background1" w:themeFillShade="F2"/>
            <w:vAlign w:val="center"/>
          </w:tcPr>
          <w:p w14:paraId="1845E076" w14:textId="77777777" w:rsidR="00D951DE" w:rsidRPr="000F5074" w:rsidRDefault="00D951DE" w:rsidP="00A745F9">
            <w:pPr>
              <w:spacing w:after="0" w:line="240" w:lineRule="auto"/>
              <w:jc w:val="both"/>
              <w:rPr>
                <w:rFonts w:ascii="Times" w:hAnsi="Times" w:cs="Times"/>
                <w:sz w:val="20"/>
                <w:szCs w:val="20"/>
              </w:rPr>
            </w:pPr>
            <w:r>
              <w:rPr>
                <w:rFonts w:ascii="Times" w:hAnsi="Times" w:cs="Times"/>
                <w:sz w:val="20"/>
                <w:szCs w:val="20"/>
              </w:rPr>
              <w:t>f</w:t>
            </w:r>
            <w:r w:rsidRPr="000F5074">
              <w:rPr>
                <w:rFonts w:ascii="Times" w:hAnsi="Times" w:cs="Times"/>
                <w:sz w:val="20"/>
                <w:szCs w:val="20"/>
              </w:rPr>
              <w:t>orma giuridica di costituzione ai sensi della legislazione nazionale</w:t>
            </w:r>
            <w:r>
              <w:t xml:space="preserve"> </w:t>
            </w:r>
            <w:r w:rsidRPr="008058A9">
              <w:rPr>
                <w:rFonts w:ascii="Times" w:hAnsi="Times" w:cs="Times"/>
                <w:sz w:val="20"/>
                <w:szCs w:val="20"/>
              </w:rPr>
              <w:t>del richiedente di cui all’articolo 62, paragrafo 2, lettera b), del regolamento (UE) 2023/1114, comprese le informazioni che indicano se il richiedente è una persona giuridica o un’altra impresa e, se disponibili,</w:t>
            </w:r>
            <w:r w:rsidRPr="00BD2E53">
              <w:rPr>
                <w:rFonts w:ascii="Times" w:hAnsi="Times" w:cs="Times"/>
                <w:sz w:val="20"/>
                <w:szCs w:val="20"/>
              </w:rPr>
              <w:t xml:space="preserve"> il n</w:t>
            </w:r>
            <w:r w:rsidRPr="008058A9">
              <w:rPr>
                <w:rFonts w:ascii="Times" w:hAnsi="Times" w:cs="Times"/>
                <w:sz w:val="20"/>
                <w:szCs w:val="20"/>
              </w:rPr>
              <w:t>umero di identificazione nazionale del richiedente e la prova della sua iscrizione al registro nazionale delle imprese</w:t>
            </w:r>
            <w:r>
              <w:rPr>
                <w:rFonts w:ascii="Times" w:hAnsi="Times" w:cs="Times"/>
                <w:sz w:val="20"/>
                <w:szCs w:val="20"/>
              </w:rPr>
              <w:t>;</w:t>
            </w:r>
          </w:p>
        </w:tc>
        <w:tc>
          <w:tcPr>
            <w:tcW w:w="7513" w:type="dxa"/>
            <w:shd w:val="clear" w:color="auto" w:fill="FFFFFF" w:themeFill="background1"/>
          </w:tcPr>
          <w:p w14:paraId="4BC0C989"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3B19792" w14:textId="77777777" w:rsidTr="00111686">
        <w:trPr>
          <w:trHeight w:val="624"/>
        </w:trPr>
        <w:tc>
          <w:tcPr>
            <w:tcW w:w="2726" w:type="dxa"/>
            <w:shd w:val="clear" w:color="auto" w:fill="F2F2F2" w:themeFill="background1" w:themeFillShade="F2"/>
            <w:vAlign w:val="center"/>
          </w:tcPr>
          <w:p w14:paraId="31B7D179"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f) </w:t>
            </w:r>
            <w:r w:rsidRPr="000F5074">
              <w:rPr>
                <w:rFonts w:ascii="Times" w:hAnsi="Times" w:cs="Times"/>
                <w:b/>
                <w:bCs/>
                <w:sz w:val="20"/>
                <w:szCs w:val="20"/>
              </w:rPr>
              <w:t>Data</w:t>
            </w:r>
            <w:r>
              <w:rPr>
                <w:rFonts w:ascii="Times" w:hAnsi="Times" w:cs="Times"/>
                <w:b/>
                <w:bCs/>
                <w:sz w:val="20"/>
                <w:szCs w:val="20"/>
              </w:rPr>
              <w:t xml:space="preserve"> e Stato membro </w:t>
            </w:r>
            <w:r w:rsidRPr="000F5074">
              <w:rPr>
                <w:rFonts w:ascii="Times" w:hAnsi="Times" w:cs="Times"/>
                <w:b/>
                <w:bCs/>
                <w:sz w:val="20"/>
                <w:szCs w:val="20"/>
              </w:rPr>
              <w:t>di costituzione</w:t>
            </w:r>
            <w:r>
              <w:rPr>
                <w:rFonts w:ascii="Times" w:hAnsi="Times" w:cs="Times"/>
                <w:b/>
                <w:bCs/>
                <w:sz w:val="20"/>
                <w:szCs w:val="20"/>
              </w:rPr>
              <w:t xml:space="preserve"> o fondazione</w:t>
            </w:r>
          </w:p>
        </w:tc>
        <w:tc>
          <w:tcPr>
            <w:tcW w:w="4640" w:type="dxa"/>
            <w:shd w:val="clear" w:color="auto" w:fill="F2F2F2" w:themeFill="background1" w:themeFillShade="F2"/>
            <w:vAlign w:val="center"/>
          </w:tcPr>
          <w:p w14:paraId="73EBDAC8" w14:textId="77777777" w:rsidR="00D951DE" w:rsidRPr="000F5074" w:rsidRDefault="00D951DE" w:rsidP="00A745F9">
            <w:pPr>
              <w:spacing w:after="0" w:line="240" w:lineRule="auto"/>
              <w:jc w:val="both"/>
              <w:rPr>
                <w:rFonts w:ascii="Times" w:hAnsi="Times" w:cs="Times"/>
                <w:sz w:val="20"/>
                <w:szCs w:val="20"/>
              </w:rPr>
            </w:pPr>
            <w:r>
              <w:rPr>
                <w:rFonts w:ascii="Times" w:hAnsi="Times" w:cs="Times"/>
                <w:sz w:val="20"/>
                <w:szCs w:val="20"/>
              </w:rPr>
              <w:t>d</w:t>
            </w:r>
            <w:r w:rsidRPr="000F5074">
              <w:rPr>
                <w:rFonts w:ascii="Times" w:hAnsi="Times" w:cs="Times"/>
                <w:sz w:val="20"/>
                <w:szCs w:val="20"/>
              </w:rPr>
              <w:t xml:space="preserve">ata </w:t>
            </w:r>
            <w:r>
              <w:rPr>
                <w:rFonts w:ascii="Times" w:hAnsi="Times" w:cs="Times"/>
                <w:sz w:val="20"/>
                <w:szCs w:val="20"/>
              </w:rPr>
              <w:t>e Stato membro</w:t>
            </w:r>
            <w:r w:rsidRPr="000F5074">
              <w:rPr>
                <w:rFonts w:ascii="Times" w:hAnsi="Times" w:cs="Times"/>
                <w:sz w:val="20"/>
                <w:szCs w:val="20"/>
              </w:rPr>
              <w:t xml:space="preserve"> di costituzione</w:t>
            </w:r>
            <w:r>
              <w:rPr>
                <w:rFonts w:ascii="Times" w:hAnsi="Times" w:cs="Times"/>
                <w:sz w:val="20"/>
                <w:szCs w:val="20"/>
              </w:rPr>
              <w:t xml:space="preserve"> o fondazione del richiedente;</w:t>
            </w:r>
          </w:p>
        </w:tc>
        <w:tc>
          <w:tcPr>
            <w:tcW w:w="7513" w:type="dxa"/>
            <w:shd w:val="clear" w:color="auto" w:fill="FFFFFF" w:themeFill="background1"/>
          </w:tcPr>
          <w:p w14:paraId="3A3523F7"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4B79DE86" w14:textId="77777777" w:rsidTr="00111686">
        <w:trPr>
          <w:trHeight w:val="624"/>
        </w:trPr>
        <w:tc>
          <w:tcPr>
            <w:tcW w:w="2726" w:type="dxa"/>
            <w:shd w:val="clear" w:color="auto" w:fill="F2F2F2" w:themeFill="background1" w:themeFillShade="F2"/>
            <w:vAlign w:val="center"/>
          </w:tcPr>
          <w:p w14:paraId="6F107189" w14:textId="77777777" w:rsidR="00D951DE" w:rsidRDefault="00D951DE" w:rsidP="00A745F9">
            <w:pPr>
              <w:spacing w:after="0" w:line="240" w:lineRule="auto"/>
              <w:jc w:val="both"/>
              <w:rPr>
                <w:rFonts w:ascii="Times" w:hAnsi="Times" w:cs="Times"/>
                <w:b/>
                <w:bCs/>
                <w:sz w:val="20"/>
                <w:szCs w:val="20"/>
              </w:rPr>
            </w:pPr>
            <w:r>
              <w:rPr>
                <w:rFonts w:ascii="Times" w:hAnsi="Times" w:cs="Times"/>
                <w:b/>
                <w:bCs/>
                <w:sz w:val="20"/>
                <w:szCs w:val="20"/>
              </w:rPr>
              <w:lastRenderedPageBreak/>
              <w:t xml:space="preserve">g) </w:t>
            </w:r>
            <w:r w:rsidRPr="000F5074">
              <w:rPr>
                <w:rFonts w:ascii="Times" w:hAnsi="Times" w:cs="Times"/>
                <w:b/>
                <w:bCs/>
                <w:sz w:val="20"/>
                <w:szCs w:val="20"/>
              </w:rPr>
              <w:t>Statuto e atto costitutivo</w:t>
            </w:r>
            <w:r>
              <w:rPr>
                <w:rFonts w:ascii="Times" w:hAnsi="Times" w:cs="Times"/>
                <w:b/>
                <w:bCs/>
                <w:sz w:val="20"/>
                <w:szCs w:val="20"/>
              </w:rPr>
              <w:t xml:space="preserve"> </w:t>
            </w:r>
          </w:p>
        </w:tc>
        <w:tc>
          <w:tcPr>
            <w:tcW w:w="4640" w:type="dxa"/>
            <w:shd w:val="clear" w:color="auto" w:fill="F2F2F2" w:themeFill="background1" w:themeFillShade="F2"/>
            <w:vAlign w:val="center"/>
          </w:tcPr>
          <w:p w14:paraId="64E08922" w14:textId="77777777" w:rsidR="00D951DE" w:rsidRPr="000F5074" w:rsidRDefault="00D951DE" w:rsidP="00A745F9">
            <w:pPr>
              <w:spacing w:after="0" w:line="240" w:lineRule="auto"/>
              <w:jc w:val="both"/>
              <w:rPr>
                <w:rFonts w:ascii="Times" w:hAnsi="Times" w:cs="Times"/>
                <w:sz w:val="20"/>
                <w:szCs w:val="20"/>
              </w:rPr>
            </w:pPr>
            <w:r w:rsidRPr="003E4872">
              <w:rPr>
                <w:rFonts w:ascii="Times" w:eastAsia="Times New Roman" w:hAnsi="Times" w:cs="Times"/>
                <w:iCs/>
                <w:sz w:val="20"/>
                <w:szCs w:val="20"/>
                <w:lang w:eastAsia="en-GB"/>
              </w:rPr>
              <w:t>se del caso, gli atti costitutivi, lo statuto di cui all’articolo 62, paragrafo 2, lettera c), del regolamento (UE) 2023/1114 e i regolamenti interni</w:t>
            </w:r>
            <w:r>
              <w:rPr>
                <w:rFonts w:ascii="Times" w:eastAsia="Times New Roman" w:hAnsi="Times" w:cs="Times"/>
                <w:iCs/>
                <w:sz w:val="20"/>
                <w:szCs w:val="20"/>
                <w:lang w:eastAsia="en-GB"/>
              </w:rPr>
              <w:t>;</w:t>
            </w:r>
          </w:p>
        </w:tc>
        <w:tc>
          <w:tcPr>
            <w:tcW w:w="7513" w:type="dxa"/>
            <w:shd w:val="clear" w:color="auto" w:fill="FFFFFF" w:themeFill="background1"/>
          </w:tcPr>
          <w:p w14:paraId="14F9BAA4"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1C08F11" w14:textId="77777777" w:rsidTr="00111686">
        <w:trPr>
          <w:trHeight w:val="624"/>
        </w:trPr>
        <w:tc>
          <w:tcPr>
            <w:tcW w:w="2726" w:type="dxa"/>
            <w:shd w:val="clear" w:color="auto" w:fill="F2F2F2" w:themeFill="background1" w:themeFillShade="F2"/>
            <w:vAlign w:val="center"/>
          </w:tcPr>
          <w:p w14:paraId="1D5A9652"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h) </w:t>
            </w:r>
            <w:r w:rsidRPr="000F5074">
              <w:rPr>
                <w:rFonts w:ascii="Times" w:hAnsi="Times" w:cs="Times"/>
                <w:b/>
                <w:bCs/>
                <w:sz w:val="20"/>
                <w:szCs w:val="20"/>
              </w:rPr>
              <w:t xml:space="preserve">Indirizzo </w:t>
            </w:r>
            <w:r>
              <w:rPr>
                <w:rFonts w:ascii="Times" w:hAnsi="Times" w:cs="Times"/>
                <w:b/>
                <w:bCs/>
                <w:sz w:val="20"/>
                <w:szCs w:val="20"/>
              </w:rPr>
              <w:t>sede centrale e sede legale</w:t>
            </w:r>
          </w:p>
        </w:tc>
        <w:tc>
          <w:tcPr>
            <w:tcW w:w="4640" w:type="dxa"/>
            <w:shd w:val="clear" w:color="auto" w:fill="F2F2F2" w:themeFill="background1" w:themeFillShade="F2"/>
            <w:vAlign w:val="center"/>
          </w:tcPr>
          <w:p w14:paraId="374580E3" w14:textId="77777777" w:rsidR="00D951DE" w:rsidRPr="00EA14B6" w:rsidRDefault="00D951DE" w:rsidP="00A745F9">
            <w:pPr>
              <w:spacing w:after="0" w:line="240" w:lineRule="auto"/>
              <w:jc w:val="both"/>
              <w:rPr>
                <w:rFonts w:ascii="Times" w:eastAsia="Times New Roman" w:hAnsi="Times" w:cs="Times"/>
                <w:i/>
                <w:iCs/>
                <w:sz w:val="20"/>
                <w:szCs w:val="20"/>
                <w:lang w:eastAsia="en-GB"/>
              </w:rPr>
            </w:pPr>
            <w:r w:rsidRPr="00FC7FBF">
              <w:rPr>
                <w:rFonts w:ascii="Times" w:hAnsi="Times" w:cs="Times"/>
                <w:sz w:val="20"/>
                <w:szCs w:val="20"/>
              </w:rPr>
              <w:t>l’indirizzo della sede centrale e, se differente, della sede legale del richiedente</w:t>
            </w:r>
            <w:r>
              <w:rPr>
                <w:rFonts w:ascii="Times" w:hAnsi="Times" w:cs="Times"/>
                <w:sz w:val="20"/>
                <w:szCs w:val="20"/>
              </w:rPr>
              <w:t>;</w:t>
            </w:r>
          </w:p>
        </w:tc>
        <w:tc>
          <w:tcPr>
            <w:tcW w:w="7513" w:type="dxa"/>
            <w:shd w:val="clear" w:color="auto" w:fill="FFFFFF" w:themeFill="background1"/>
          </w:tcPr>
          <w:p w14:paraId="006E47AE"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6E658B9F" w14:textId="77777777" w:rsidTr="00111686">
        <w:trPr>
          <w:trHeight w:val="624"/>
        </w:trPr>
        <w:tc>
          <w:tcPr>
            <w:tcW w:w="2726" w:type="dxa"/>
            <w:shd w:val="clear" w:color="auto" w:fill="F2F2F2" w:themeFill="background1" w:themeFillShade="F2"/>
            <w:vAlign w:val="center"/>
          </w:tcPr>
          <w:p w14:paraId="733D4322"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i) </w:t>
            </w:r>
            <w:r w:rsidRPr="00A12667">
              <w:rPr>
                <w:rFonts w:ascii="Times" w:hAnsi="Times" w:cs="Times"/>
                <w:b/>
                <w:bCs/>
                <w:sz w:val="20"/>
                <w:szCs w:val="20"/>
              </w:rPr>
              <w:t>Informazioni sulle succursali</w:t>
            </w:r>
          </w:p>
        </w:tc>
        <w:tc>
          <w:tcPr>
            <w:tcW w:w="4640" w:type="dxa"/>
            <w:shd w:val="clear" w:color="auto" w:fill="F2F2F2" w:themeFill="background1" w:themeFillShade="F2"/>
            <w:vAlign w:val="center"/>
          </w:tcPr>
          <w:p w14:paraId="10457165" w14:textId="77777777" w:rsidR="00D951DE" w:rsidRPr="008B23C0" w:rsidRDefault="00D951DE" w:rsidP="00A745F9">
            <w:pPr>
              <w:spacing w:after="0" w:line="240" w:lineRule="auto"/>
              <w:jc w:val="both"/>
              <w:rPr>
                <w:rFonts w:ascii="Times" w:eastAsia="Times New Roman" w:hAnsi="Times" w:cs="Times"/>
                <w:i/>
                <w:iCs/>
                <w:sz w:val="20"/>
                <w:szCs w:val="20"/>
                <w:lang w:eastAsia="en-GB"/>
              </w:rPr>
            </w:pPr>
            <w:r w:rsidRPr="00A06EEE">
              <w:rPr>
                <w:rFonts w:ascii="Times" w:hAnsi="Times" w:cs="Times"/>
                <w:sz w:val="20"/>
                <w:szCs w:val="20"/>
              </w:rPr>
              <w:t>le informazioni sul luogo in cui opereranno le eventuali succursali e il loro identificativo della persona giuridica (LEI), se disponibile</w:t>
            </w:r>
            <w:r>
              <w:rPr>
                <w:rFonts w:ascii="Times" w:hAnsi="Times" w:cs="Times"/>
                <w:sz w:val="20"/>
                <w:szCs w:val="20"/>
              </w:rPr>
              <w:t>;</w:t>
            </w:r>
          </w:p>
        </w:tc>
        <w:tc>
          <w:tcPr>
            <w:tcW w:w="7513" w:type="dxa"/>
            <w:shd w:val="clear" w:color="auto" w:fill="FFFFFF" w:themeFill="background1"/>
          </w:tcPr>
          <w:p w14:paraId="531BD920"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3FA3C3E" w14:textId="77777777" w:rsidTr="00111686">
        <w:trPr>
          <w:trHeight w:val="624"/>
        </w:trPr>
        <w:tc>
          <w:tcPr>
            <w:tcW w:w="2726" w:type="dxa"/>
            <w:shd w:val="clear" w:color="auto" w:fill="F2F2F2" w:themeFill="background1" w:themeFillShade="F2"/>
            <w:vAlign w:val="center"/>
          </w:tcPr>
          <w:p w14:paraId="48AA3B49"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j) </w:t>
            </w:r>
            <w:r w:rsidRPr="000F5074">
              <w:rPr>
                <w:rFonts w:ascii="Times" w:hAnsi="Times" w:cs="Times"/>
                <w:b/>
                <w:bCs/>
                <w:sz w:val="20"/>
                <w:szCs w:val="20"/>
              </w:rPr>
              <w:t>Indirizzo internet e social</w:t>
            </w:r>
          </w:p>
        </w:tc>
        <w:tc>
          <w:tcPr>
            <w:tcW w:w="4640" w:type="dxa"/>
            <w:shd w:val="clear" w:color="auto" w:fill="F2F2F2" w:themeFill="background1" w:themeFillShade="F2"/>
            <w:vAlign w:val="center"/>
          </w:tcPr>
          <w:p w14:paraId="45B14858" w14:textId="77777777" w:rsidR="00D951DE" w:rsidRPr="008B23C0" w:rsidRDefault="00D951DE" w:rsidP="00A745F9">
            <w:pPr>
              <w:spacing w:after="0" w:line="240" w:lineRule="auto"/>
              <w:jc w:val="both"/>
              <w:rPr>
                <w:rFonts w:ascii="Times" w:eastAsia="Times New Roman" w:hAnsi="Times" w:cs="Times"/>
                <w:i/>
                <w:iCs/>
                <w:sz w:val="20"/>
                <w:szCs w:val="20"/>
                <w:lang w:eastAsia="en-GB"/>
              </w:rPr>
            </w:pPr>
            <w:r w:rsidRPr="00CD1A2F">
              <w:rPr>
                <w:rFonts w:ascii="Times" w:hAnsi="Times" w:cs="Times"/>
                <w:sz w:val="20"/>
                <w:szCs w:val="20"/>
              </w:rPr>
              <w:t>il nome di dominio di ciascun sito web gestito dal richiedente e gli account di social media di tale richiedente</w:t>
            </w:r>
            <w:r>
              <w:rPr>
                <w:rFonts w:ascii="Times" w:hAnsi="Times" w:cs="Times"/>
                <w:sz w:val="20"/>
                <w:szCs w:val="20"/>
              </w:rPr>
              <w:t>;</w:t>
            </w:r>
          </w:p>
        </w:tc>
        <w:tc>
          <w:tcPr>
            <w:tcW w:w="7513" w:type="dxa"/>
            <w:shd w:val="clear" w:color="auto" w:fill="FFFFFF" w:themeFill="background1"/>
          </w:tcPr>
          <w:p w14:paraId="3D31363B" w14:textId="6DD471DE"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4504B280" w14:textId="77777777" w:rsidTr="00111686">
        <w:trPr>
          <w:trHeight w:val="624"/>
        </w:trPr>
        <w:tc>
          <w:tcPr>
            <w:tcW w:w="2726" w:type="dxa"/>
            <w:shd w:val="clear" w:color="auto" w:fill="F2F2F2" w:themeFill="background1" w:themeFillShade="F2"/>
            <w:vAlign w:val="center"/>
          </w:tcPr>
          <w:p w14:paraId="51E5E2F3"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t>l) U</w:t>
            </w:r>
            <w:r w:rsidRPr="000F5074">
              <w:rPr>
                <w:rFonts w:ascii="Times" w:hAnsi="Times" w:cs="Times"/>
                <w:b/>
                <w:bCs/>
                <w:sz w:val="20"/>
                <w:szCs w:val="20"/>
              </w:rPr>
              <w:t>lteriori dati nel caso di servizio di gestione di una piattaforma di negoziazione</w:t>
            </w:r>
          </w:p>
        </w:tc>
        <w:tc>
          <w:tcPr>
            <w:tcW w:w="4640" w:type="dxa"/>
            <w:shd w:val="clear" w:color="auto" w:fill="F2F2F2" w:themeFill="background1" w:themeFillShade="F2"/>
            <w:vAlign w:val="center"/>
          </w:tcPr>
          <w:p w14:paraId="7B40689A" w14:textId="77777777" w:rsidR="00D951DE" w:rsidRPr="00434588" w:rsidRDefault="00D951DE" w:rsidP="00A745F9">
            <w:pPr>
              <w:spacing w:after="0" w:line="240" w:lineRule="auto"/>
              <w:jc w:val="both"/>
              <w:rPr>
                <w:rFonts w:ascii="Times" w:hAnsi="Times" w:cs="Times"/>
                <w:iCs/>
                <w:sz w:val="20"/>
                <w:szCs w:val="20"/>
              </w:rPr>
            </w:pPr>
            <w:r w:rsidRPr="00434588">
              <w:rPr>
                <w:rFonts w:ascii="Times" w:hAnsi="Times" w:cs="Times"/>
                <w:iCs/>
                <w:sz w:val="20"/>
                <w:szCs w:val="20"/>
              </w:rPr>
              <w:t>Se il richiedente intende gestire una piattaforma di negoziazione di cripto-attività:</w:t>
            </w:r>
          </w:p>
          <w:p w14:paraId="70F9E476" w14:textId="77777777" w:rsidR="00D951DE" w:rsidRDefault="00D951DE" w:rsidP="00A745F9">
            <w:pPr>
              <w:pStyle w:val="Paragrafoelenco"/>
              <w:numPr>
                <w:ilvl w:val="0"/>
                <w:numId w:val="14"/>
              </w:numPr>
              <w:spacing w:after="0" w:line="240" w:lineRule="auto"/>
              <w:contextualSpacing w:val="0"/>
              <w:jc w:val="both"/>
              <w:rPr>
                <w:rFonts w:ascii="Times" w:hAnsi="Times" w:cs="Times"/>
                <w:iCs/>
                <w:lang w:val="it-IT"/>
              </w:rPr>
            </w:pPr>
            <w:r w:rsidRPr="00CD1A2F">
              <w:rPr>
                <w:rFonts w:ascii="Times" w:hAnsi="Times" w:cs="Times"/>
                <w:iCs/>
                <w:lang w:val="it-IT"/>
              </w:rPr>
              <w:t>l’indirizzo fisico, il numero di telefono e l’indirizzo di posta elettronica della piattaforma di negoziazione di cripto-attività</w:t>
            </w:r>
            <w:r w:rsidRPr="00434588">
              <w:rPr>
                <w:rFonts w:ascii="Times" w:hAnsi="Times" w:cs="Times"/>
                <w:iCs/>
                <w:lang w:val="it-IT"/>
              </w:rPr>
              <w:t>;</w:t>
            </w:r>
          </w:p>
          <w:p w14:paraId="3DBE8146" w14:textId="77777777" w:rsidR="00D951DE" w:rsidRPr="00670157" w:rsidRDefault="00D951DE" w:rsidP="00A745F9">
            <w:pPr>
              <w:pStyle w:val="Paragrafoelenco"/>
              <w:numPr>
                <w:ilvl w:val="0"/>
                <w:numId w:val="14"/>
              </w:numPr>
              <w:spacing w:after="0" w:line="240" w:lineRule="auto"/>
              <w:contextualSpacing w:val="0"/>
              <w:jc w:val="both"/>
              <w:rPr>
                <w:rFonts w:ascii="Times" w:hAnsi="Times" w:cs="Times"/>
                <w:iCs/>
                <w:lang w:val="it-IT"/>
              </w:rPr>
            </w:pPr>
            <w:r w:rsidRPr="00CD1A2F">
              <w:rPr>
                <w:rFonts w:ascii="Times" w:hAnsi="Times" w:cs="Times"/>
                <w:iCs/>
                <w:lang w:val="it-IT"/>
              </w:rPr>
              <w:t>qualsiasi denominazione commerciale della piattaforma di negoziazione di cripto-attività</w:t>
            </w:r>
            <w:r>
              <w:rPr>
                <w:rFonts w:ascii="Times" w:hAnsi="Times" w:cs="Times"/>
                <w:iCs/>
                <w:lang w:val="it-IT"/>
              </w:rPr>
              <w:t>.</w:t>
            </w:r>
          </w:p>
        </w:tc>
        <w:tc>
          <w:tcPr>
            <w:tcW w:w="7513" w:type="dxa"/>
            <w:shd w:val="clear" w:color="auto" w:fill="FFFFFF" w:themeFill="background1"/>
          </w:tcPr>
          <w:p w14:paraId="50721E64" w14:textId="0A214C29"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0F5074" w14:paraId="2F11ADBE" w14:textId="77777777" w:rsidTr="00A745F9">
        <w:trPr>
          <w:trHeight w:val="482"/>
        </w:trPr>
        <w:tc>
          <w:tcPr>
            <w:tcW w:w="14879" w:type="dxa"/>
            <w:gridSpan w:val="3"/>
            <w:shd w:val="clear" w:color="auto" w:fill="2E74B5" w:themeFill="accent1" w:themeFillShade="BF"/>
            <w:vAlign w:val="center"/>
          </w:tcPr>
          <w:p w14:paraId="6040BFF9" w14:textId="77777777" w:rsidR="00D951DE" w:rsidRPr="00D456BD" w:rsidRDefault="00D951DE" w:rsidP="00A745F9">
            <w:pPr>
              <w:pStyle w:val="Paragrafoelenco"/>
              <w:numPr>
                <w:ilvl w:val="0"/>
                <w:numId w:val="29"/>
              </w:numPr>
              <w:spacing w:after="0" w:line="240" w:lineRule="auto"/>
              <w:jc w:val="both"/>
              <w:rPr>
                <w:rFonts w:ascii="Times" w:eastAsia="Times New Roman" w:hAnsi="Times" w:cs="Times"/>
                <w:b/>
                <w:bCs/>
                <w:color w:val="FFFFFF" w:themeColor="background1"/>
              </w:rPr>
            </w:pPr>
            <w:r w:rsidRPr="00D456BD">
              <w:rPr>
                <w:rFonts w:ascii="Times" w:eastAsia="Times New Roman" w:hAnsi="Times" w:cs="Times"/>
                <w:b/>
                <w:bCs/>
                <w:color w:val="FFFFFF" w:themeColor="background1"/>
              </w:rPr>
              <w:t>PROGRAMMA OPERATIVO</w:t>
            </w:r>
          </w:p>
        </w:tc>
      </w:tr>
      <w:tr w:rsidR="00D951DE" w:rsidRPr="00BF6CB3" w14:paraId="11A005E3" w14:textId="77777777" w:rsidTr="00111686">
        <w:trPr>
          <w:trHeight w:val="397"/>
        </w:trPr>
        <w:tc>
          <w:tcPr>
            <w:tcW w:w="7366" w:type="dxa"/>
            <w:gridSpan w:val="2"/>
            <w:shd w:val="clear" w:color="auto" w:fill="F2F2F2" w:themeFill="background1" w:themeFillShade="F2"/>
            <w:vAlign w:val="center"/>
          </w:tcPr>
          <w:p w14:paraId="54431648" w14:textId="77777777" w:rsidR="00D951DE" w:rsidRPr="00E313C3" w:rsidRDefault="00D951DE" w:rsidP="00A745F9">
            <w:pPr>
              <w:pStyle w:val="Paragrafoelenco"/>
              <w:spacing w:after="0" w:line="240" w:lineRule="auto"/>
              <w:ind w:left="0"/>
              <w:contextualSpacing w:val="0"/>
              <w:jc w:val="both"/>
              <w:rPr>
                <w:rFonts w:ascii="Times" w:hAnsi="Times" w:cs="Times"/>
                <w:iCs/>
                <w:lang w:val="it-IT"/>
              </w:rPr>
            </w:pPr>
            <w:r w:rsidRPr="00E313C3">
              <w:rPr>
                <w:rFonts w:ascii="Times" w:hAnsi="Times" w:cs="Times"/>
                <w:lang w:val="it-IT"/>
              </w:rPr>
              <w:t xml:space="preserve">Ai </w:t>
            </w:r>
            <w:r>
              <w:rPr>
                <w:rFonts w:ascii="Times" w:hAnsi="Times" w:cs="Times"/>
                <w:lang w:val="it-IT"/>
              </w:rPr>
              <w:t>sensi</w:t>
            </w:r>
            <w:r w:rsidRPr="00E313C3">
              <w:rPr>
                <w:rFonts w:ascii="Times" w:hAnsi="Times" w:cs="Times"/>
                <w:lang w:val="it-IT"/>
              </w:rPr>
              <w:t xml:space="preserve"> dell’articolo 62, paragrafo 2, lettera d), del regolamento (UE) 2023/1114</w:t>
            </w:r>
            <w:r>
              <w:rPr>
                <w:rFonts w:ascii="Times" w:hAnsi="Times" w:cs="Times"/>
                <w:lang w:val="it-IT"/>
              </w:rPr>
              <w:t xml:space="preserve"> e dell’articolo 2 del regolamento delegato (UE) della Commissione 2025/305,</w:t>
            </w:r>
            <w:r w:rsidRPr="00E313C3">
              <w:rPr>
                <w:rFonts w:ascii="Times" w:hAnsi="Times" w:cs="Times"/>
                <w:lang w:val="it-IT"/>
              </w:rPr>
              <w:t xml:space="preserve"> i richiedenti forniscono all’autorità competente il programma operativo per i tre anni successivi all’autorizzazione, comprese tutte le informazioni seguenti:</w:t>
            </w:r>
          </w:p>
        </w:tc>
        <w:tc>
          <w:tcPr>
            <w:tcW w:w="7513" w:type="dxa"/>
            <w:shd w:val="clear" w:color="auto" w:fill="F2F2F2" w:themeFill="background1" w:themeFillShade="F2"/>
          </w:tcPr>
          <w:p w14:paraId="2CBAB434" w14:textId="77777777" w:rsidR="00D951DE" w:rsidRPr="000361E8" w:rsidRDefault="00D951DE" w:rsidP="00A745F9">
            <w:pPr>
              <w:spacing w:after="0" w:line="240" w:lineRule="auto"/>
              <w:jc w:val="both"/>
              <w:rPr>
                <w:rFonts w:ascii="Times New Roman" w:hAnsi="Times New Roman"/>
                <w:i/>
                <w:color w:val="2E74B5" w:themeColor="accent1" w:themeShade="BF"/>
                <w:sz w:val="20"/>
                <w:szCs w:val="20"/>
              </w:rPr>
            </w:pPr>
            <w:r w:rsidRPr="00E313C3">
              <w:rPr>
                <w:rFonts w:ascii="Times New Roman" w:hAnsi="Times New Roman"/>
                <w:i/>
                <w:color w:val="2E74B5" w:themeColor="accent1" w:themeShade="BF"/>
                <w:sz w:val="20"/>
                <w:szCs w:val="20"/>
              </w:rPr>
              <w:t xml:space="preserve">Le informazioni di dettaglio potranno essere fornite nell'Allegato 2, suddividendole in paragrafi. Inoltre, a corredo delle informazioni raccolte nel presente modulo occorre trasmettere il prospetto </w:t>
            </w:r>
            <w:proofErr w:type="spellStart"/>
            <w:r w:rsidRPr="00E313C3">
              <w:rPr>
                <w:rFonts w:ascii="Times New Roman" w:hAnsi="Times New Roman"/>
                <w:i/>
                <w:color w:val="2E74B5" w:themeColor="accent1" w:themeShade="BF"/>
                <w:sz w:val="20"/>
                <w:szCs w:val="20"/>
              </w:rPr>
              <w:t>excel</w:t>
            </w:r>
            <w:proofErr w:type="spellEnd"/>
            <w:r w:rsidRPr="00E313C3">
              <w:rPr>
                <w:rFonts w:ascii="Times New Roman" w:hAnsi="Times New Roman"/>
                <w:i/>
                <w:color w:val="2E74B5" w:themeColor="accent1" w:themeShade="BF"/>
                <w:sz w:val="20"/>
                <w:szCs w:val="20"/>
              </w:rPr>
              <w:t xml:space="preserve"> allegato al presente modulo e scaricabile dal sito della Consob e della Banca d’Italia da valorizzare con le informazioni relative al programma di attività e ai piani previsionali (Allegato 2.1).</w:t>
            </w:r>
          </w:p>
        </w:tc>
      </w:tr>
      <w:tr w:rsidR="00D951DE" w:rsidRPr="00BF6CB3" w14:paraId="687EB458" w14:textId="77777777" w:rsidTr="00CA38F4">
        <w:trPr>
          <w:trHeight w:val="397"/>
        </w:trPr>
        <w:tc>
          <w:tcPr>
            <w:tcW w:w="2726" w:type="dxa"/>
            <w:vMerge w:val="restart"/>
            <w:shd w:val="clear" w:color="auto" w:fill="F2F2F2" w:themeFill="background1" w:themeFillShade="F2"/>
          </w:tcPr>
          <w:p w14:paraId="430E8485" w14:textId="77777777" w:rsidR="00D951DE" w:rsidRPr="000F5074" w:rsidRDefault="00D951DE" w:rsidP="00A745F9">
            <w:pPr>
              <w:spacing w:after="0" w:line="240" w:lineRule="auto"/>
              <w:rPr>
                <w:rFonts w:ascii="Times" w:hAnsi="Times" w:cs="Times"/>
                <w:b/>
                <w:bCs/>
                <w:sz w:val="20"/>
                <w:szCs w:val="20"/>
              </w:rPr>
            </w:pPr>
            <w:r>
              <w:rPr>
                <w:rFonts w:ascii="Times" w:hAnsi="Times" w:cs="Times"/>
                <w:b/>
                <w:bCs/>
                <w:sz w:val="20"/>
                <w:szCs w:val="20"/>
              </w:rPr>
              <w:t xml:space="preserve">1. </w:t>
            </w:r>
            <w:r w:rsidRPr="000F5074">
              <w:rPr>
                <w:rFonts w:ascii="Times" w:hAnsi="Times" w:cs="Times"/>
                <w:b/>
                <w:bCs/>
                <w:sz w:val="20"/>
                <w:szCs w:val="20"/>
              </w:rPr>
              <w:t xml:space="preserve">Programmazione delle attività a livello di gruppo </w:t>
            </w:r>
          </w:p>
        </w:tc>
        <w:tc>
          <w:tcPr>
            <w:tcW w:w="4640" w:type="dxa"/>
            <w:shd w:val="clear" w:color="auto" w:fill="F2F2F2" w:themeFill="background1" w:themeFillShade="F2"/>
          </w:tcPr>
          <w:p w14:paraId="1EFEBEDB"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406D1">
              <w:rPr>
                <w:rFonts w:ascii="Times" w:hAnsi="Times" w:cs="Times"/>
                <w:iCs/>
                <w:color w:val="000000" w:themeColor="text1"/>
                <w:lang w:val="it-IT"/>
              </w:rPr>
              <w:t xml:space="preserve">(a) </w:t>
            </w:r>
            <w:r w:rsidRPr="008B0C68">
              <w:rPr>
                <w:rFonts w:ascii="Times" w:hAnsi="Times" w:cs="Times"/>
                <w:iCs/>
                <w:color w:val="000000" w:themeColor="text1"/>
                <w:lang w:val="it-IT"/>
              </w:rPr>
              <w:t>se il richiedente appartiene a un gruppo quale definito all’articolo 2, punto 11), della direttiva 2013/34/UE del Parlamento europeo e del Consiglio</w:t>
            </w:r>
            <w:r>
              <w:rPr>
                <w:rStyle w:val="Rimandonotaapidipagina"/>
                <w:rFonts w:ascii="Times" w:hAnsi="Times" w:cs="Times"/>
                <w:iCs/>
                <w:color w:val="000000" w:themeColor="text1"/>
                <w:lang w:val="it-IT"/>
              </w:rPr>
              <w:footnoteReference w:id="3"/>
            </w:r>
            <w:r w:rsidRPr="008B0C68">
              <w:rPr>
                <w:rFonts w:ascii="Times" w:hAnsi="Times" w:cs="Times"/>
                <w:iCs/>
                <w:color w:val="000000" w:themeColor="text1"/>
                <w:lang w:val="it-IT"/>
              </w:rPr>
              <w:t xml:space="preserve">, </w:t>
            </w:r>
            <w:r w:rsidRPr="008B0C68">
              <w:rPr>
                <w:rFonts w:ascii="Times" w:hAnsi="Times" w:cs="Times"/>
                <w:iCs/>
                <w:color w:val="000000" w:themeColor="text1"/>
                <w:lang w:val="it-IT"/>
              </w:rPr>
              <w:lastRenderedPageBreak/>
              <w:t>una spiegazione del modo in cui le attività del richiedente si inseriscono nella strategia del gruppo e interagiscono con le attività degli altri soggetti di tale gruppo, compresa una panoramica dell’organizzazione e della struttura attuali e previste di tale gruppo</w:t>
            </w:r>
            <w:r w:rsidRPr="000406D1">
              <w:rPr>
                <w:rFonts w:ascii="Times" w:hAnsi="Times" w:cs="Times"/>
                <w:iCs/>
                <w:color w:val="000000" w:themeColor="text1"/>
                <w:lang w:val="it-IT"/>
              </w:rPr>
              <w:t xml:space="preserve">; </w:t>
            </w:r>
          </w:p>
        </w:tc>
        <w:tc>
          <w:tcPr>
            <w:tcW w:w="7513" w:type="dxa"/>
            <w:shd w:val="clear" w:color="auto" w:fill="FFFFFF" w:themeFill="background1"/>
          </w:tcPr>
          <w:p w14:paraId="2DEC978C" w14:textId="713E40B5" w:rsidR="00796739" w:rsidRPr="00EB6EC5" w:rsidRDefault="00796739" w:rsidP="00EB6EC5">
            <w:pPr>
              <w:spacing w:after="0" w:line="240" w:lineRule="auto"/>
              <w:jc w:val="both"/>
              <w:rPr>
                <w:rFonts w:ascii="Times" w:hAnsi="Times" w:cs="Times"/>
                <w:iCs/>
                <w:color w:val="000000" w:themeColor="text1"/>
                <w:sz w:val="20"/>
                <w:szCs w:val="20"/>
              </w:rPr>
            </w:pPr>
          </w:p>
        </w:tc>
      </w:tr>
      <w:tr w:rsidR="00D951DE" w:rsidRPr="00BF6CB3" w14:paraId="0B1A45EC" w14:textId="77777777" w:rsidTr="00CA38F4">
        <w:trPr>
          <w:trHeight w:val="396"/>
        </w:trPr>
        <w:tc>
          <w:tcPr>
            <w:tcW w:w="2726" w:type="dxa"/>
            <w:vMerge/>
            <w:shd w:val="clear" w:color="auto" w:fill="F2F2F2" w:themeFill="background1" w:themeFillShade="F2"/>
          </w:tcPr>
          <w:p w14:paraId="5FD96FAE"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339E4CA4" w14:textId="77777777" w:rsidR="00D951DE" w:rsidRDefault="00D951DE" w:rsidP="00A745F9">
            <w:pPr>
              <w:pStyle w:val="Paragrafoelenco"/>
              <w:spacing w:after="0" w:line="240" w:lineRule="auto"/>
              <w:ind w:left="0"/>
              <w:contextualSpacing w:val="0"/>
              <w:jc w:val="both"/>
              <w:rPr>
                <w:rFonts w:ascii="Times" w:hAnsi="Times" w:cs="Times"/>
                <w:iCs/>
                <w:color w:val="000000" w:themeColor="text1"/>
                <w:lang w:val="it-IT"/>
              </w:rPr>
            </w:pPr>
            <w:r w:rsidRPr="000406D1">
              <w:rPr>
                <w:rFonts w:ascii="Times" w:hAnsi="Times" w:cs="Times"/>
                <w:iCs/>
                <w:color w:val="000000" w:themeColor="text1"/>
                <w:lang w:val="it-IT"/>
              </w:rPr>
              <w:t xml:space="preserve">(b) </w:t>
            </w:r>
            <w:r w:rsidRPr="008B0C68">
              <w:rPr>
                <w:rFonts w:ascii="Times" w:hAnsi="Times" w:cs="Times"/>
                <w:iCs/>
                <w:color w:val="000000" w:themeColor="text1"/>
                <w:lang w:val="it-IT"/>
              </w:rPr>
              <w:t xml:space="preserve">una spiegazione del modo in cui si prevede che le attività dei </w:t>
            </w:r>
            <w:r w:rsidRPr="007C5F29">
              <w:rPr>
                <w:rFonts w:ascii="Times" w:hAnsi="Times" w:cs="Times"/>
                <w:iCs/>
                <w:color w:val="000000" w:themeColor="text1"/>
                <w:lang w:val="it-IT"/>
              </w:rPr>
              <w:t>soggetti affiliati</w:t>
            </w:r>
            <w:r w:rsidRPr="008B0C68">
              <w:rPr>
                <w:rFonts w:ascii="Times" w:hAnsi="Times" w:cs="Times"/>
                <w:iCs/>
                <w:color w:val="000000" w:themeColor="text1"/>
                <w:lang w:val="it-IT"/>
              </w:rPr>
              <w:t xml:space="preserve"> al richiedente, anche nel caso in cui vi siano soggetti regolamentati all’interno del gruppo, incideranno sulle attività del richiedente</w:t>
            </w:r>
            <w:r>
              <w:rPr>
                <w:rFonts w:ascii="Times" w:hAnsi="Times" w:cs="Times"/>
                <w:iCs/>
                <w:color w:val="000000" w:themeColor="text1"/>
                <w:lang w:val="it-IT"/>
              </w:rPr>
              <w:t>.</w:t>
            </w:r>
          </w:p>
          <w:p w14:paraId="5AEEEEAB"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697A8F">
              <w:rPr>
                <w:rFonts w:ascii="Times" w:hAnsi="Times" w:cs="Times"/>
                <w:iCs/>
                <w:color w:val="000000" w:themeColor="text1"/>
                <w:lang w:val="it-IT"/>
              </w:rPr>
              <w:t>Ai fini della lettera b), la spiegazione comprende un elenco dei soggetti affiliati al richiedente e informazioni su di essi, anche nel caso in cui vi siano soggetti regolamentati, i servizi prestati da tali soggetti, compresi i servizi regolamentati, le attività e i tipi di clienti, e i nomi di dominio di ciascun sito web gestito da tali soggetti</w:t>
            </w:r>
            <w:r>
              <w:rPr>
                <w:rFonts w:ascii="Times" w:hAnsi="Times" w:cs="Times"/>
                <w:iCs/>
                <w:color w:val="000000" w:themeColor="text1"/>
                <w:lang w:val="it-IT"/>
              </w:rPr>
              <w:t>;</w:t>
            </w:r>
          </w:p>
        </w:tc>
        <w:tc>
          <w:tcPr>
            <w:tcW w:w="7513" w:type="dxa"/>
            <w:shd w:val="clear" w:color="auto" w:fill="FFFFFF" w:themeFill="background1"/>
          </w:tcPr>
          <w:p w14:paraId="1B46EDB7" w14:textId="6D59BDF9"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4978EC8E" w14:textId="77777777" w:rsidTr="00CA38F4">
        <w:trPr>
          <w:trHeight w:val="251"/>
        </w:trPr>
        <w:tc>
          <w:tcPr>
            <w:tcW w:w="2726" w:type="dxa"/>
            <w:vMerge w:val="restart"/>
            <w:shd w:val="clear" w:color="auto" w:fill="F2F2F2" w:themeFill="background1" w:themeFillShade="F2"/>
          </w:tcPr>
          <w:p w14:paraId="09F92A4E" w14:textId="77777777" w:rsidR="00D951DE" w:rsidRPr="000F5074" w:rsidRDefault="00D951DE" w:rsidP="00A745F9">
            <w:pPr>
              <w:spacing w:after="0" w:line="240" w:lineRule="auto"/>
              <w:rPr>
                <w:rFonts w:ascii="Times" w:hAnsi="Times" w:cs="Times"/>
                <w:b/>
                <w:bCs/>
                <w:sz w:val="20"/>
                <w:szCs w:val="20"/>
              </w:rPr>
            </w:pPr>
            <w:r>
              <w:rPr>
                <w:rFonts w:ascii="Times" w:hAnsi="Times" w:cs="Times"/>
                <w:b/>
                <w:bCs/>
                <w:sz w:val="20"/>
                <w:szCs w:val="20"/>
              </w:rPr>
              <w:t xml:space="preserve">2. </w:t>
            </w:r>
            <w:r w:rsidRPr="000F5074">
              <w:rPr>
                <w:rFonts w:ascii="Times" w:hAnsi="Times" w:cs="Times"/>
                <w:b/>
                <w:bCs/>
                <w:sz w:val="20"/>
                <w:szCs w:val="20"/>
              </w:rPr>
              <w:t xml:space="preserve">Servizi di cui si richiede l’autorizzazione </w:t>
            </w:r>
          </w:p>
        </w:tc>
        <w:tc>
          <w:tcPr>
            <w:tcW w:w="4640" w:type="dxa"/>
            <w:shd w:val="clear" w:color="auto" w:fill="F2F2F2" w:themeFill="background1" w:themeFillShade="F2"/>
          </w:tcPr>
          <w:p w14:paraId="36D8B553" w14:textId="77777777" w:rsidR="00D951DE" w:rsidRPr="00DB33DE"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DB33DE">
              <w:rPr>
                <w:rFonts w:ascii="Times" w:hAnsi="Times" w:cs="Times"/>
                <w:iCs/>
                <w:color w:val="000000" w:themeColor="text1"/>
                <w:lang w:val="it-IT"/>
              </w:rPr>
              <w:t xml:space="preserve">(c) </w:t>
            </w:r>
            <w:r w:rsidRPr="008B0C68">
              <w:rPr>
                <w:rFonts w:ascii="Times" w:hAnsi="Times" w:cs="Times"/>
                <w:iCs/>
                <w:color w:val="000000" w:themeColor="text1"/>
                <w:lang w:val="it-IT"/>
              </w:rPr>
              <w:t>un elenco dei servizi per le cripto-attività che il richiedente intende prestare e i tipi di cripto-attività cui i servizi per le cripto-attività si riferiscono</w:t>
            </w:r>
            <w:r w:rsidRPr="00DB33DE">
              <w:rPr>
                <w:rFonts w:ascii="Times" w:hAnsi="Times" w:cs="Times"/>
                <w:iCs/>
                <w:lang w:val="it-IT"/>
              </w:rPr>
              <w:t>;</w:t>
            </w:r>
          </w:p>
        </w:tc>
        <w:tc>
          <w:tcPr>
            <w:tcW w:w="7513" w:type="dxa"/>
            <w:shd w:val="clear" w:color="auto" w:fill="FFFFFF" w:themeFill="background1"/>
          </w:tcPr>
          <w:p w14:paraId="32B0F377"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788B9987" w14:textId="77777777" w:rsidTr="00796739">
        <w:trPr>
          <w:trHeight w:val="250"/>
        </w:trPr>
        <w:tc>
          <w:tcPr>
            <w:tcW w:w="2726" w:type="dxa"/>
            <w:vMerge/>
            <w:shd w:val="clear" w:color="auto" w:fill="F2F2F2" w:themeFill="background1" w:themeFillShade="F2"/>
            <w:vAlign w:val="center"/>
          </w:tcPr>
          <w:p w14:paraId="3F17D2A3"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0FF882E5"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406D1">
              <w:rPr>
                <w:rFonts w:ascii="Times" w:hAnsi="Times" w:cs="Times"/>
                <w:iCs/>
                <w:color w:val="000000" w:themeColor="text1"/>
                <w:lang w:val="it-IT"/>
              </w:rPr>
              <w:t xml:space="preserve">(d) </w:t>
            </w:r>
            <w:r w:rsidRPr="008B0C68">
              <w:rPr>
                <w:rFonts w:ascii="Times" w:hAnsi="Times" w:cs="Times"/>
                <w:iCs/>
                <w:color w:val="000000" w:themeColor="text1"/>
                <w:lang w:val="it-IT"/>
              </w:rPr>
              <w:t>altre attività pianificate, regolamentate conformemente al diritto dell’Unione o nazionale o non regolamentate, compresi i servizi diversi dai servizi per le cripto-attività, che il richiedente intende prestare</w:t>
            </w:r>
            <w:r w:rsidRPr="000406D1">
              <w:rPr>
                <w:rFonts w:ascii="Times" w:hAnsi="Times" w:cs="Times"/>
                <w:iCs/>
                <w:color w:val="000000" w:themeColor="text1"/>
                <w:lang w:val="it-IT"/>
              </w:rPr>
              <w:t>;</w:t>
            </w:r>
          </w:p>
        </w:tc>
        <w:tc>
          <w:tcPr>
            <w:tcW w:w="7513" w:type="dxa"/>
            <w:shd w:val="clear" w:color="auto" w:fill="FFFFFF" w:themeFill="background1"/>
          </w:tcPr>
          <w:p w14:paraId="4BC25033"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452F1F50" w14:textId="77777777" w:rsidTr="00796739">
        <w:trPr>
          <w:trHeight w:val="265"/>
        </w:trPr>
        <w:tc>
          <w:tcPr>
            <w:tcW w:w="2726" w:type="dxa"/>
            <w:vMerge/>
            <w:shd w:val="clear" w:color="auto" w:fill="F2F2F2" w:themeFill="background1" w:themeFillShade="F2"/>
            <w:vAlign w:val="center"/>
          </w:tcPr>
          <w:p w14:paraId="1E8DCA8E"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40A05C76"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406D1">
              <w:rPr>
                <w:rFonts w:ascii="Times" w:hAnsi="Times" w:cs="Times"/>
                <w:iCs/>
                <w:color w:val="000000" w:themeColor="text1"/>
                <w:lang w:val="it-IT"/>
              </w:rPr>
              <w:t xml:space="preserve">(e) </w:t>
            </w:r>
            <w:r w:rsidRPr="00834F95">
              <w:rPr>
                <w:rFonts w:ascii="Times" w:hAnsi="Times" w:cs="Times"/>
                <w:iCs/>
                <w:color w:val="000000" w:themeColor="text1"/>
                <w:lang w:val="it-IT"/>
              </w:rPr>
              <w:t>se il richiedente intende offrire cripto-attività al pubblico o chiede l’ammissione alla negoziazione di cripto-attività e, in tal caso, quale tipo di cripto-attività</w:t>
            </w:r>
            <w:r>
              <w:rPr>
                <w:rFonts w:ascii="Times" w:hAnsi="Times" w:cs="Times"/>
                <w:iCs/>
                <w:color w:val="000000" w:themeColor="text1"/>
                <w:lang w:val="it-IT"/>
              </w:rPr>
              <w:t>;</w:t>
            </w:r>
          </w:p>
        </w:tc>
        <w:tc>
          <w:tcPr>
            <w:tcW w:w="7513" w:type="dxa"/>
            <w:shd w:val="clear" w:color="auto" w:fill="FFFFFF" w:themeFill="background1"/>
          </w:tcPr>
          <w:p w14:paraId="63080184"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6F0483" w14:paraId="07C31D93" w14:textId="77777777" w:rsidTr="00CA38F4">
        <w:trPr>
          <w:trHeight w:val="264"/>
        </w:trPr>
        <w:tc>
          <w:tcPr>
            <w:tcW w:w="2726" w:type="dxa"/>
            <w:shd w:val="clear" w:color="auto" w:fill="F2F2F2" w:themeFill="background1" w:themeFillShade="F2"/>
          </w:tcPr>
          <w:p w14:paraId="3BD10B4B" w14:textId="77777777" w:rsidR="00D951DE" w:rsidRPr="000F5074" w:rsidRDefault="00D951DE" w:rsidP="00A745F9">
            <w:pPr>
              <w:spacing w:after="0" w:line="240" w:lineRule="auto"/>
              <w:rPr>
                <w:rFonts w:ascii="Times" w:hAnsi="Times" w:cs="Times"/>
                <w:b/>
                <w:bCs/>
                <w:sz w:val="20"/>
                <w:szCs w:val="20"/>
              </w:rPr>
            </w:pPr>
            <w:r>
              <w:rPr>
                <w:rFonts w:ascii="Times" w:hAnsi="Times" w:cs="Times"/>
                <w:b/>
                <w:bCs/>
                <w:sz w:val="20"/>
                <w:szCs w:val="20"/>
              </w:rPr>
              <w:t xml:space="preserve">3. </w:t>
            </w:r>
            <w:r w:rsidRPr="000F5074">
              <w:rPr>
                <w:rFonts w:ascii="Times" w:hAnsi="Times" w:cs="Times"/>
                <w:b/>
                <w:bCs/>
                <w:sz w:val="20"/>
                <w:szCs w:val="20"/>
              </w:rPr>
              <w:t>Luogo di prestazione dell’attività</w:t>
            </w:r>
          </w:p>
        </w:tc>
        <w:tc>
          <w:tcPr>
            <w:tcW w:w="4640" w:type="dxa"/>
            <w:shd w:val="clear" w:color="auto" w:fill="F2F2F2" w:themeFill="background1" w:themeFillShade="F2"/>
          </w:tcPr>
          <w:p w14:paraId="5DAAFDCF"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406D1">
              <w:rPr>
                <w:rFonts w:ascii="Times" w:hAnsi="Times" w:cs="Times"/>
                <w:iCs/>
                <w:color w:val="000000" w:themeColor="text1"/>
                <w:lang w:val="it-IT"/>
              </w:rPr>
              <w:t xml:space="preserve">(f) </w:t>
            </w:r>
            <w:r w:rsidRPr="00834F95">
              <w:rPr>
                <w:rFonts w:ascii="Times" w:hAnsi="Times" w:cs="Times"/>
                <w:iCs/>
                <w:color w:val="000000" w:themeColor="text1"/>
                <w:lang w:val="it-IT"/>
              </w:rPr>
              <w:t>un elenco delle giurisdizioni, sia nell’Unione che nei paesi terzi, in cui il richiedente prevede di prestare servizi per le cripto-attività, comprese informazioni sul numero previsto di clienti per area geografica</w:t>
            </w:r>
            <w:r>
              <w:rPr>
                <w:rFonts w:ascii="Times" w:hAnsi="Times" w:cs="Times"/>
                <w:iCs/>
                <w:color w:val="000000" w:themeColor="text1"/>
                <w:lang w:val="it-IT"/>
              </w:rPr>
              <w:t>;</w:t>
            </w:r>
          </w:p>
        </w:tc>
        <w:tc>
          <w:tcPr>
            <w:tcW w:w="7513" w:type="dxa"/>
            <w:shd w:val="clear" w:color="auto" w:fill="FFFFFF" w:themeFill="background1"/>
          </w:tcPr>
          <w:p w14:paraId="03D7C592"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0EA4DE5A" w14:textId="77777777" w:rsidTr="00CA5004">
        <w:trPr>
          <w:trHeight w:val="265"/>
        </w:trPr>
        <w:tc>
          <w:tcPr>
            <w:tcW w:w="2726" w:type="dxa"/>
            <w:vMerge w:val="restart"/>
            <w:shd w:val="clear" w:color="auto" w:fill="F2F2F2" w:themeFill="background1" w:themeFillShade="F2"/>
          </w:tcPr>
          <w:p w14:paraId="63525855" w14:textId="77777777" w:rsidR="00D951DE" w:rsidRPr="00834F95" w:rsidRDefault="00D951DE" w:rsidP="00A745F9">
            <w:pPr>
              <w:spacing w:after="0" w:line="240" w:lineRule="auto"/>
              <w:rPr>
                <w:rFonts w:ascii="Times" w:hAnsi="Times" w:cs="Times"/>
                <w:b/>
                <w:bCs/>
                <w:sz w:val="20"/>
                <w:szCs w:val="20"/>
              </w:rPr>
            </w:pPr>
            <w:r w:rsidRPr="00834F95">
              <w:rPr>
                <w:rFonts w:ascii="Times" w:hAnsi="Times" w:cs="Times"/>
                <w:b/>
                <w:bCs/>
                <w:sz w:val="20"/>
                <w:szCs w:val="20"/>
              </w:rPr>
              <w:t>4. Clientela</w:t>
            </w:r>
            <w:r>
              <w:rPr>
                <w:rFonts w:ascii="Times" w:hAnsi="Times" w:cs="Times"/>
                <w:b/>
                <w:bCs/>
                <w:sz w:val="20"/>
                <w:szCs w:val="20"/>
              </w:rPr>
              <w:t>, mezzi di accesso e marketing</w:t>
            </w:r>
          </w:p>
        </w:tc>
        <w:tc>
          <w:tcPr>
            <w:tcW w:w="4640" w:type="dxa"/>
            <w:shd w:val="clear" w:color="auto" w:fill="F2F2F2" w:themeFill="background1" w:themeFillShade="F2"/>
          </w:tcPr>
          <w:p w14:paraId="69139D1A" w14:textId="77777777" w:rsidR="00D951DE" w:rsidRPr="00834F95"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834F95">
              <w:rPr>
                <w:rFonts w:ascii="Times" w:hAnsi="Times" w:cs="Times"/>
                <w:iCs/>
                <w:color w:val="000000" w:themeColor="text1"/>
                <w:lang w:val="it-IT"/>
              </w:rPr>
              <w:t>(g</w:t>
            </w:r>
            <w:r w:rsidRPr="00E313C3">
              <w:rPr>
                <w:rFonts w:ascii="Times" w:hAnsi="Times" w:cs="Times"/>
                <w:iCs/>
                <w:color w:val="000000" w:themeColor="text1"/>
                <w:lang w:val="it-IT"/>
              </w:rPr>
              <w:t xml:space="preserve">) </w:t>
            </w:r>
            <w:r w:rsidRPr="00834F95">
              <w:rPr>
                <w:rFonts w:ascii="Times" w:hAnsi="Times" w:cs="Times"/>
                <w:iCs/>
                <w:color w:val="000000" w:themeColor="text1"/>
                <w:lang w:val="it-IT"/>
              </w:rPr>
              <w:t>i tipi di potenziali clienti cui si rivolgono i servizi per le cripto-attività del richiedente;</w:t>
            </w:r>
          </w:p>
        </w:tc>
        <w:tc>
          <w:tcPr>
            <w:tcW w:w="7513" w:type="dxa"/>
            <w:shd w:val="clear" w:color="auto" w:fill="FFFFFF" w:themeFill="background1"/>
          </w:tcPr>
          <w:p w14:paraId="307EE1B0"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2F671F54" w14:textId="77777777" w:rsidTr="00796739">
        <w:trPr>
          <w:trHeight w:val="397"/>
        </w:trPr>
        <w:tc>
          <w:tcPr>
            <w:tcW w:w="2726" w:type="dxa"/>
            <w:vMerge/>
            <w:shd w:val="clear" w:color="auto" w:fill="F2F2F2" w:themeFill="background1" w:themeFillShade="F2"/>
            <w:vAlign w:val="center"/>
          </w:tcPr>
          <w:p w14:paraId="65F2EC20"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335961C4" w14:textId="77777777" w:rsidR="00D951DE" w:rsidRPr="000F5074" w:rsidRDefault="00D951DE" w:rsidP="00A745F9">
            <w:pPr>
              <w:spacing w:after="0" w:line="240" w:lineRule="auto"/>
              <w:rPr>
                <w:rFonts w:ascii="Times" w:hAnsi="Times" w:cs="Times"/>
                <w:iCs/>
                <w:color w:val="000000" w:themeColor="text1"/>
                <w:sz w:val="20"/>
                <w:szCs w:val="20"/>
              </w:rPr>
            </w:pPr>
            <w:r w:rsidRPr="000F5074">
              <w:rPr>
                <w:rFonts w:ascii="Times" w:hAnsi="Times" w:cs="Times"/>
                <w:iCs/>
                <w:color w:val="000000" w:themeColor="text1"/>
                <w:sz w:val="20"/>
                <w:szCs w:val="20"/>
              </w:rPr>
              <w:t xml:space="preserve">(h) </w:t>
            </w:r>
            <w:r w:rsidRPr="00834F95">
              <w:rPr>
                <w:rFonts w:ascii="Times" w:hAnsi="Times" w:cs="Times"/>
                <w:iCs/>
                <w:color w:val="000000" w:themeColor="text1"/>
                <w:sz w:val="20"/>
                <w:szCs w:val="20"/>
              </w:rPr>
              <w:t>una descrizione dei mezzi di accesso dei clienti ai servizi per le cripto-attività del richiedente, compresi tutti gli elementi seguent</w:t>
            </w:r>
            <w:r>
              <w:rPr>
                <w:rFonts w:ascii="Times" w:hAnsi="Times" w:cs="Times"/>
                <w:iCs/>
                <w:color w:val="000000" w:themeColor="text1"/>
                <w:sz w:val="20"/>
                <w:szCs w:val="20"/>
              </w:rPr>
              <w:t>i</w:t>
            </w:r>
            <w:r w:rsidRPr="000F5074">
              <w:rPr>
                <w:rFonts w:ascii="Times" w:hAnsi="Times" w:cs="Times"/>
                <w:iCs/>
                <w:color w:val="000000" w:themeColor="text1"/>
                <w:sz w:val="20"/>
                <w:szCs w:val="20"/>
              </w:rPr>
              <w:t xml:space="preserve">: </w:t>
            </w:r>
          </w:p>
          <w:p w14:paraId="07086364" w14:textId="77777777" w:rsidR="00D951DE" w:rsidRDefault="00D951DE" w:rsidP="00A745F9">
            <w:pPr>
              <w:pStyle w:val="Paragrafoelenco"/>
              <w:numPr>
                <w:ilvl w:val="0"/>
                <w:numId w:val="15"/>
              </w:numPr>
              <w:spacing w:after="0" w:line="240" w:lineRule="auto"/>
              <w:contextualSpacing w:val="0"/>
              <w:jc w:val="both"/>
              <w:rPr>
                <w:rFonts w:ascii="Times" w:hAnsi="Times" w:cs="Times"/>
                <w:iCs/>
                <w:color w:val="000000" w:themeColor="text1"/>
                <w:lang w:val="it-IT"/>
              </w:rPr>
            </w:pPr>
            <w:r w:rsidRPr="00834F95">
              <w:rPr>
                <w:rFonts w:ascii="Times" w:hAnsi="Times" w:cs="Times"/>
                <w:iCs/>
                <w:color w:val="000000" w:themeColor="text1"/>
                <w:lang w:val="it-IT"/>
              </w:rPr>
              <w:t>i nomi di dominio per ciascun sito web o altra applicazione basata sulle TIC attraverso i quali il richiedente presterà i servizi per le cripto-attività e le informazioni sulle lingue in cui il sito web o altra applicazione basata sulle TIC saranno disponibili, i tipi di servizi per le cripto-attività cui si potrà accedere tramite tale sito web o altra applicazione basata sulle TIC e, se del caso, da quali Stati membri il sito web o altra applicazione basata sulle TIC saranno accessibili</w:t>
            </w:r>
            <w:r>
              <w:rPr>
                <w:rFonts w:ascii="Times" w:hAnsi="Times" w:cs="Times"/>
                <w:iCs/>
                <w:color w:val="000000" w:themeColor="text1"/>
                <w:lang w:val="it-IT"/>
              </w:rPr>
              <w:t>;</w:t>
            </w:r>
          </w:p>
          <w:p w14:paraId="67D995DE" w14:textId="77777777" w:rsidR="00D951DE" w:rsidRPr="00987E29" w:rsidRDefault="00D951DE" w:rsidP="00A745F9">
            <w:pPr>
              <w:pStyle w:val="Paragrafoelenco"/>
              <w:numPr>
                <w:ilvl w:val="0"/>
                <w:numId w:val="15"/>
              </w:numPr>
              <w:spacing w:after="0" w:line="240" w:lineRule="auto"/>
              <w:contextualSpacing w:val="0"/>
              <w:jc w:val="both"/>
              <w:rPr>
                <w:rFonts w:ascii="Times" w:hAnsi="Times" w:cs="Times"/>
                <w:iCs/>
                <w:color w:val="000000" w:themeColor="text1"/>
                <w:lang w:val="it-IT"/>
              </w:rPr>
            </w:pPr>
            <w:r w:rsidRPr="00834F95">
              <w:rPr>
                <w:rFonts w:ascii="Times" w:hAnsi="Times" w:cs="Times"/>
                <w:iCs/>
                <w:color w:val="000000" w:themeColor="text1"/>
                <w:lang w:val="it-IT"/>
              </w:rPr>
              <w:t>il nome di qualsiasi applicazione basata sulle TIC a disposizione dei clienti per accedere ai servizi per le cripto-attività, le lingue in cui tale applicazione basata sulle TIC è disponibile e i servizi per le cripto-attività cui è possibile accedere attraverso tale applicazione basata sulle TI</w:t>
            </w:r>
            <w:r w:rsidRPr="00E74443">
              <w:rPr>
                <w:rFonts w:ascii="Times" w:hAnsi="Times" w:cs="Times"/>
                <w:iCs/>
                <w:color w:val="000000" w:themeColor="text1"/>
                <w:lang w:val="it-IT"/>
              </w:rPr>
              <w:t>C</w:t>
            </w:r>
            <w:r w:rsidRPr="00E313C3">
              <w:rPr>
                <w:rFonts w:ascii="Times" w:hAnsi="Times" w:cs="Times"/>
                <w:iCs/>
                <w:color w:val="000000" w:themeColor="text1"/>
                <w:lang w:val="it-IT"/>
              </w:rPr>
              <w:t>;</w:t>
            </w:r>
            <w:r w:rsidRPr="00987E29">
              <w:rPr>
                <w:rFonts w:ascii="Times" w:hAnsi="Times" w:cs="Times"/>
                <w:iCs/>
                <w:color w:val="000000" w:themeColor="text1"/>
                <w:lang w:val="it-IT"/>
              </w:rPr>
              <w:t xml:space="preserve"> </w:t>
            </w:r>
          </w:p>
        </w:tc>
        <w:tc>
          <w:tcPr>
            <w:tcW w:w="7513" w:type="dxa"/>
            <w:shd w:val="clear" w:color="auto" w:fill="FFFFFF" w:themeFill="background1"/>
          </w:tcPr>
          <w:p w14:paraId="21575BBD"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80402F" w14:paraId="22860F6C" w14:textId="77777777" w:rsidTr="00796739">
        <w:trPr>
          <w:trHeight w:val="396"/>
        </w:trPr>
        <w:tc>
          <w:tcPr>
            <w:tcW w:w="2726" w:type="dxa"/>
            <w:vMerge/>
            <w:shd w:val="clear" w:color="auto" w:fill="F2F2F2" w:themeFill="background1" w:themeFillShade="F2"/>
            <w:vAlign w:val="center"/>
          </w:tcPr>
          <w:p w14:paraId="22299FCD" w14:textId="77777777" w:rsidR="00D951DE" w:rsidRPr="008B23C0" w:rsidRDefault="00D951DE" w:rsidP="00A745F9">
            <w:pPr>
              <w:spacing w:after="0" w:line="240" w:lineRule="auto"/>
              <w:rPr>
                <w:rFonts w:ascii="Times" w:hAnsi="Times" w:cs="Times"/>
                <w:b/>
                <w:bCs/>
                <w:sz w:val="20"/>
                <w:szCs w:val="20"/>
              </w:rPr>
            </w:pPr>
          </w:p>
        </w:tc>
        <w:tc>
          <w:tcPr>
            <w:tcW w:w="4640" w:type="dxa"/>
            <w:shd w:val="clear" w:color="auto" w:fill="F2F2F2" w:themeFill="background1" w:themeFillShade="F2"/>
          </w:tcPr>
          <w:p w14:paraId="31E43D7C" w14:textId="77777777" w:rsidR="00D951DE" w:rsidRPr="000F5074" w:rsidRDefault="00D951DE" w:rsidP="00A745F9">
            <w:pPr>
              <w:spacing w:after="0" w:line="240" w:lineRule="auto"/>
              <w:rPr>
                <w:rFonts w:ascii="Times" w:hAnsi="Times" w:cs="Times"/>
                <w:iCs/>
                <w:color w:val="000000" w:themeColor="text1"/>
                <w:sz w:val="20"/>
                <w:szCs w:val="20"/>
              </w:rPr>
            </w:pPr>
            <w:r w:rsidRPr="000F5074">
              <w:rPr>
                <w:rFonts w:ascii="Times" w:hAnsi="Times" w:cs="Times"/>
                <w:iCs/>
                <w:color w:val="000000" w:themeColor="text1"/>
                <w:sz w:val="20"/>
                <w:szCs w:val="20"/>
              </w:rPr>
              <w:t xml:space="preserve">(i) </w:t>
            </w:r>
            <w:r w:rsidRPr="00834F95">
              <w:rPr>
                <w:rFonts w:ascii="Times" w:hAnsi="Times" w:cs="Times"/>
                <w:iCs/>
                <w:color w:val="000000" w:themeColor="text1"/>
                <w:sz w:val="20"/>
                <w:szCs w:val="20"/>
              </w:rPr>
              <w:t>le attività e le modalità promozionali e di marketing previste per i servizi per le cripto-attività, tra cui</w:t>
            </w:r>
            <w:r w:rsidRPr="000F5074">
              <w:rPr>
                <w:rFonts w:ascii="Times" w:hAnsi="Times" w:cs="Times"/>
                <w:iCs/>
                <w:color w:val="000000" w:themeColor="text1"/>
                <w:sz w:val="20"/>
                <w:szCs w:val="20"/>
              </w:rPr>
              <w:t>:</w:t>
            </w:r>
          </w:p>
          <w:p w14:paraId="1C1798DD" w14:textId="77777777" w:rsidR="00D951DE" w:rsidRDefault="00D951DE" w:rsidP="00A745F9">
            <w:pPr>
              <w:pStyle w:val="Paragrafoelenco"/>
              <w:numPr>
                <w:ilvl w:val="0"/>
                <w:numId w:val="16"/>
              </w:numPr>
              <w:spacing w:after="0" w:line="240" w:lineRule="auto"/>
              <w:contextualSpacing w:val="0"/>
              <w:rPr>
                <w:rFonts w:ascii="Times" w:hAnsi="Times" w:cs="Times"/>
                <w:iCs/>
                <w:color w:val="000000" w:themeColor="text1"/>
                <w:lang w:val="it-IT"/>
              </w:rPr>
            </w:pPr>
            <w:r w:rsidRPr="00834F95">
              <w:rPr>
                <w:rFonts w:ascii="Times" w:hAnsi="Times" w:cs="Times"/>
                <w:iCs/>
                <w:color w:val="000000" w:themeColor="text1"/>
                <w:lang w:val="it-IT"/>
              </w:rPr>
              <w:t>tutti i mezzi di marketing da utilizzare per ciascuno dei servizi</w:t>
            </w:r>
            <w:r w:rsidRPr="00DC780A">
              <w:rPr>
                <w:rFonts w:ascii="Times" w:hAnsi="Times" w:cs="Times"/>
                <w:iCs/>
                <w:color w:val="000000" w:themeColor="text1"/>
                <w:lang w:val="it-IT"/>
              </w:rPr>
              <w:t>;</w:t>
            </w:r>
          </w:p>
          <w:p w14:paraId="50500F74" w14:textId="77777777" w:rsidR="00D951DE" w:rsidRDefault="00D951DE" w:rsidP="00A745F9">
            <w:pPr>
              <w:pStyle w:val="Paragrafoelenco"/>
              <w:numPr>
                <w:ilvl w:val="0"/>
                <w:numId w:val="16"/>
              </w:numPr>
              <w:spacing w:after="0" w:line="240" w:lineRule="auto"/>
              <w:contextualSpacing w:val="0"/>
              <w:rPr>
                <w:rFonts w:ascii="Times" w:hAnsi="Times" w:cs="Times"/>
                <w:iCs/>
                <w:color w:val="000000" w:themeColor="text1"/>
                <w:lang w:val="it-IT"/>
              </w:rPr>
            </w:pPr>
            <w:r w:rsidRPr="00834F95">
              <w:rPr>
                <w:rFonts w:ascii="Times" w:hAnsi="Times" w:cs="Times"/>
                <w:iCs/>
                <w:color w:val="000000" w:themeColor="text1"/>
                <w:lang w:val="it-IT"/>
              </w:rPr>
              <w:t>i mezzi di identificazione previsti del richiedente</w:t>
            </w:r>
            <w:r>
              <w:rPr>
                <w:rFonts w:ascii="Times" w:hAnsi="Times" w:cs="Times"/>
                <w:iCs/>
                <w:color w:val="000000" w:themeColor="text1"/>
                <w:lang w:val="it-IT"/>
              </w:rPr>
              <w:t xml:space="preserve">; </w:t>
            </w:r>
          </w:p>
          <w:p w14:paraId="2A6DC5AF" w14:textId="77777777" w:rsidR="00D951DE" w:rsidRDefault="00D951DE" w:rsidP="00A745F9">
            <w:pPr>
              <w:pStyle w:val="Paragrafoelenco"/>
              <w:numPr>
                <w:ilvl w:val="0"/>
                <w:numId w:val="16"/>
              </w:numPr>
              <w:spacing w:after="0" w:line="240" w:lineRule="auto"/>
              <w:contextualSpacing w:val="0"/>
              <w:rPr>
                <w:rFonts w:ascii="Times" w:hAnsi="Times" w:cs="Times"/>
                <w:iCs/>
                <w:color w:val="000000" w:themeColor="text1"/>
                <w:lang w:val="it-IT"/>
              </w:rPr>
            </w:pPr>
            <w:r w:rsidRPr="00834F95">
              <w:rPr>
                <w:rFonts w:ascii="Times" w:hAnsi="Times" w:cs="Times"/>
                <w:iCs/>
                <w:color w:val="000000" w:themeColor="text1"/>
                <w:lang w:val="it-IT"/>
              </w:rPr>
              <w:t>informazioni sulla categoria pertinente di clienti destinatari</w:t>
            </w:r>
            <w:r>
              <w:rPr>
                <w:rFonts w:ascii="Times" w:hAnsi="Times" w:cs="Times"/>
                <w:iCs/>
                <w:color w:val="000000" w:themeColor="text1"/>
                <w:lang w:val="it-IT"/>
              </w:rPr>
              <w:t xml:space="preserve">; </w:t>
            </w:r>
          </w:p>
          <w:p w14:paraId="50459DAB" w14:textId="77777777" w:rsidR="00D951DE" w:rsidRDefault="00D951DE" w:rsidP="00A745F9">
            <w:pPr>
              <w:pStyle w:val="Paragrafoelenco"/>
              <w:numPr>
                <w:ilvl w:val="0"/>
                <w:numId w:val="16"/>
              </w:numPr>
              <w:spacing w:after="0" w:line="240" w:lineRule="auto"/>
              <w:contextualSpacing w:val="0"/>
              <w:rPr>
                <w:rFonts w:ascii="Times" w:hAnsi="Times" w:cs="Times"/>
                <w:iCs/>
                <w:color w:val="000000" w:themeColor="text1"/>
                <w:lang w:val="it-IT"/>
              </w:rPr>
            </w:pPr>
            <w:r w:rsidRPr="00172F7B">
              <w:rPr>
                <w:rFonts w:ascii="Times" w:hAnsi="Times" w:cs="Times"/>
                <w:iCs/>
                <w:color w:val="000000" w:themeColor="text1"/>
                <w:lang w:val="it-IT"/>
              </w:rPr>
              <w:t>i tipi di cripto-attività</w:t>
            </w:r>
            <w:r>
              <w:rPr>
                <w:rFonts w:ascii="Times" w:hAnsi="Times" w:cs="Times"/>
                <w:iCs/>
                <w:color w:val="000000" w:themeColor="text1"/>
                <w:lang w:val="it-IT"/>
              </w:rPr>
              <w:t>;</w:t>
            </w:r>
          </w:p>
          <w:p w14:paraId="19BE93D2" w14:textId="41E73363" w:rsidR="00567700" w:rsidRPr="00567700" w:rsidRDefault="00D951DE" w:rsidP="00567700">
            <w:pPr>
              <w:pStyle w:val="Paragrafoelenco"/>
              <w:numPr>
                <w:ilvl w:val="0"/>
                <w:numId w:val="16"/>
              </w:numPr>
              <w:spacing w:after="0" w:line="240" w:lineRule="auto"/>
              <w:contextualSpacing w:val="0"/>
              <w:rPr>
                <w:rFonts w:ascii="Times" w:hAnsi="Times" w:cs="Times"/>
                <w:iCs/>
                <w:color w:val="000000" w:themeColor="text1"/>
                <w:lang w:val="it-IT"/>
              </w:rPr>
            </w:pPr>
            <w:r w:rsidRPr="00172F7B">
              <w:rPr>
                <w:rFonts w:ascii="Times" w:hAnsi="Times" w:cs="Times"/>
                <w:iCs/>
                <w:color w:val="000000" w:themeColor="text1"/>
                <w:lang w:val="it-IT"/>
              </w:rPr>
              <w:t>le lingue che saranno utilizzate per le attività promozionali e di marketing</w:t>
            </w:r>
            <w:r w:rsidRPr="00652980">
              <w:rPr>
                <w:rFonts w:ascii="Times" w:hAnsi="Times" w:cs="Times"/>
                <w:iCs/>
                <w:color w:val="000000" w:themeColor="text1"/>
                <w:lang w:val="it-IT"/>
              </w:rPr>
              <w:t>.</w:t>
            </w:r>
          </w:p>
        </w:tc>
        <w:tc>
          <w:tcPr>
            <w:tcW w:w="7513" w:type="dxa"/>
            <w:shd w:val="clear" w:color="auto" w:fill="FFFFFF" w:themeFill="background1"/>
          </w:tcPr>
          <w:p w14:paraId="3F39ABF1"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38E09506" w14:textId="77777777" w:rsidTr="00796739">
        <w:trPr>
          <w:trHeight w:val="498"/>
        </w:trPr>
        <w:tc>
          <w:tcPr>
            <w:tcW w:w="2726" w:type="dxa"/>
            <w:vMerge w:val="restart"/>
            <w:shd w:val="clear" w:color="auto" w:fill="F2F2F2" w:themeFill="background1" w:themeFillShade="F2"/>
          </w:tcPr>
          <w:p w14:paraId="0C0A7808" w14:textId="77777777" w:rsidR="00D951DE" w:rsidRPr="000F5074" w:rsidRDefault="00D951DE" w:rsidP="00A745F9">
            <w:pPr>
              <w:spacing w:after="0" w:line="240" w:lineRule="auto"/>
              <w:jc w:val="both"/>
              <w:rPr>
                <w:rFonts w:ascii="Times" w:hAnsi="Times" w:cs="Times"/>
                <w:b/>
                <w:bCs/>
                <w:sz w:val="20"/>
                <w:szCs w:val="20"/>
              </w:rPr>
            </w:pPr>
            <w:r>
              <w:rPr>
                <w:rFonts w:ascii="Times" w:hAnsi="Times" w:cs="Times"/>
                <w:b/>
                <w:bCs/>
                <w:sz w:val="20"/>
                <w:szCs w:val="20"/>
              </w:rPr>
              <w:lastRenderedPageBreak/>
              <w:t xml:space="preserve">5. </w:t>
            </w:r>
            <w:r w:rsidRPr="000F5074">
              <w:rPr>
                <w:rFonts w:ascii="Times" w:hAnsi="Times" w:cs="Times"/>
                <w:b/>
                <w:bCs/>
                <w:sz w:val="20"/>
                <w:szCs w:val="20"/>
              </w:rPr>
              <w:t xml:space="preserve">Risorse </w:t>
            </w:r>
            <w:r>
              <w:rPr>
                <w:rFonts w:ascii="Times" w:hAnsi="Times" w:cs="Times"/>
                <w:b/>
                <w:bCs/>
                <w:sz w:val="20"/>
                <w:szCs w:val="20"/>
              </w:rPr>
              <w:t>e procedure</w:t>
            </w:r>
            <w:r w:rsidRPr="000F5074">
              <w:rPr>
                <w:rFonts w:ascii="Times" w:hAnsi="Times" w:cs="Times"/>
                <w:b/>
                <w:bCs/>
                <w:sz w:val="20"/>
                <w:szCs w:val="20"/>
              </w:rPr>
              <w:t xml:space="preserve"> che il</w:t>
            </w:r>
            <w:r>
              <w:rPr>
                <w:rFonts w:ascii="Times" w:hAnsi="Times" w:cs="Times"/>
                <w:b/>
                <w:bCs/>
                <w:sz w:val="20"/>
                <w:szCs w:val="20"/>
              </w:rPr>
              <w:t xml:space="preserve"> </w:t>
            </w:r>
            <w:r w:rsidRPr="000F5074">
              <w:rPr>
                <w:rFonts w:ascii="Times" w:hAnsi="Times" w:cs="Times"/>
                <w:b/>
                <w:bCs/>
                <w:sz w:val="20"/>
                <w:szCs w:val="20"/>
              </w:rPr>
              <w:t xml:space="preserve">prestatore intende utilizzare per la prestazione dei </w:t>
            </w:r>
            <w:r>
              <w:rPr>
                <w:rFonts w:ascii="Times" w:hAnsi="Times" w:cs="Times"/>
                <w:b/>
                <w:bCs/>
                <w:sz w:val="20"/>
                <w:szCs w:val="20"/>
              </w:rPr>
              <w:t>servizi per le cripto-attività</w:t>
            </w:r>
          </w:p>
        </w:tc>
        <w:tc>
          <w:tcPr>
            <w:tcW w:w="4640" w:type="dxa"/>
            <w:shd w:val="clear" w:color="auto" w:fill="F2F2F2" w:themeFill="background1" w:themeFillShade="F2"/>
          </w:tcPr>
          <w:p w14:paraId="08AB7D90" w14:textId="77777777" w:rsidR="00D951DE" w:rsidRPr="008B23C0" w:rsidRDefault="00D951DE" w:rsidP="00A745F9">
            <w:pPr>
              <w:pStyle w:val="Paragrafoelenco"/>
              <w:spacing w:after="0" w:line="240" w:lineRule="auto"/>
              <w:ind w:left="0"/>
              <w:contextualSpacing w:val="0"/>
              <w:jc w:val="both"/>
              <w:rPr>
                <w:rFonts w:ascii="Times" w:hAnsi="Times" w:cs="Times"/>
                <w:i/>
                <w:color w:val="000000" w:themeColor="text1"/>
                <w:lang w:val="it-IT"/>
              </w:rPr>
            </w:pPr>
            <w:r w:rsidRPr="000F5074">
              <w:rPr>
                <w:rFonts w:ascii="Times" w:hAnsi="Times" w:cs="Times"/>
                <w:iCs/>
                <w:color w:val="000000" w:themeColor="text1"/>
                <w:lang w:val="it-IT"/>
              </w:rPr>
              <w:t xml:space="preserve">(j) </w:t>
            </w:r>
            <w:r w:rsidRPr="00172F7B">
              <w:rPr>
                <w:rFonts w:ascii="Times" w:hAnsi="Times" w:cs="Times"/>
                <w:iCs/>
                <w:color w:val="000000" w:themeColor="text1"/>
                <w:lang w:val="it-IT"/>
              </w:rPr>
              <w:t>una descrizione dettagliata delle risorse umane, finanziarie e TIC assegnate ai servizi per le cripto-attività previsti e la loro ubicazione geografica</w:t>
            </w:r>
            <w:r w:rsidRPr="000F5074">
              <w:rPr>
                <w:rFonts w:ascii="Times" w:hAnsi="Times" w:cs="Times"/>
                <w:iCs/>
                <w:color w:val="000000" w:themeColor="text1"/>
                <w:lang w:val="it-IT"/>
              </w:rPr>
              <w:t>.</w:t>
            </w:r>
          </w:p>
        </w:tc>
        <w:tc>
          <w:tcPr>
            <w:tcW w:w="7513" w:type="dxa"/>
            <w:shd w:val="clear" w:color="auto" w:fill="FFFFFF" w:themeFill="background1"/>
          </w:tcPr>
          <w:p w14:paraId="35FCA8B2"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25555B4B" w14:textId="77777777" w:rsidTr="00796739">
        <w:trPr>
          <w:trHeight w:val="498"/>
        </w:trPr>
        <w:tc>
          <w:tcPr>
            <w:tcW w:w="2726" w:type="dxa"/>
            <w:vMerge/>
            <w:shd w:val="clear" w:color="auto" w:fill="F2F2F2" w:themeFill="background1" w:themeFillShade="F2"/>
            <w:vAlign w:val="center"/>
          </w:tcPr>
          <w:p w14:paraId="1AC1D149"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886A9A6" w14:textId="77777777" w:rsidR="00D951DE" w:rsidRPr="000F5074" w:rsidRDefault="00D951DE" w:rsidP="00A745F9">
            <w:pPr>
              <w:spacing w:after="0" w:line="240" w:lineRule="auto"/>
              <w:jc w:val="both"/>
              <w:rPr>
                <w:rFonts w:ascii="Times" w:hAnsi="Times" w:cs="Times"/>
                <w:bCs/>
                <w:iCs/>
                <w:color w:val="000000" w:themeColor="text1"/>
                <w:sz w:val="20"/>
                <w:szCs w:val="20"/>
              </w:rPr>
            </w:pPr>
            <w:r w:rsidRPr="000F5074">
              <w:rPr>
                <w:rFonts w:ascii="Times" w:hAnsi="Times" w:cs="Times"/>
                <w:bCs/>
                <w:iCs/>
                <w:color w:val="000000" w:themeColor="text1"/>
                <w:sz w:val="20"/>
                <w:szCs w:val="20"/>
              </w:rPr>
              <w:t>(k)</w:t>
            </w:r>
            <w:r>
              <w:rPr>
                <w:rFonts w:ascii="Times" w:hAnsi="Times" w:cs="Times"/>
                <w:bCs/>
                <w:iCs/>
                <w:color w:val="000000" w:themeColor="text1"/>
                <w:sz w:val="20"/>
                <w:szCs w:val="20"/>
              </w:rPr>
              <w:t xml:space="preserve"> </w:t>
            </w:r>
            <w:r w:rsidRPr="00E74443">
              <w:rPr>
                <w:rFonts w:ascii="Times" w:hAnsi="Times" w:cs="Times"/>
                <w:bCs/>
                <w:iCs/>
                <w:color w:val="000000" w:themeColor="text1"/>
                <w:sz w:val="20"/>
                <w:szCs w:val="20"/>
              </w:rPr>
              <w:t>la politica di esternalizzazione del richiedente e una descrizione dettagliata degli accordi di esternalizzazione previsti del richiedente, compresi gli accordi infragruppo, e il modo in cui il richiedente si conformerà all’articolo 73 del regolamento (UE) 2023/1114</w:t>
            </w:r>
            <w:r w:rsidRPr="000F5074">
              <w:rPr>
                <w:rFonts w:ascii="Times" w:hAnsi="Times" w:cs="Times"/>
                <w:bCs/>
                <w:iCs/>
                <w:color w:val="000000" w:themeColor="text1"/>
                <w:sz w:val="20"/>
                <w:szCs w:val="20"/>
              </w:rPr>
              <w:t xml:space="preserve">. </w:t>
            </w:r>
          </w:p>
          <w:p w14:paraId="01270DC4" w14:textId="77777777" w:rsidR="00D951DE" w:rsidRPr="008B23C0" w:rsidRDefault="00D951DE" w:rsidP="00A745F9">
            <w:pPr>
              <w:pStyle w:val="Paragrafoelenco"/>
              <w:spacing w:after="0" w:line="240" w:lineRule="auto"/>
              <w:ind w:left="0"/>
              <w:contextualSpacing w:val="0"/>
              <w:jc w:val="both"/>
              <w:rPr>
                <w:rFonts w:ascii="Times" w:hAnsi="Times" w:cs="Times"/>
                <w:bCs/>
                <w:i/>
                <w:color w:val="000000" w:themeColor="text1"/>
                <w:lang w:val="it-IT"/>
              </w:rPr>
            </w:pPr>
            <w:r w:rsidRPr="00172F7B">
              <w:rPr>
                <w:rFonts w:ascii="Times" w:hAnsi="Times" w:cs="Times"/>
                <w:bCs/>
                <w:iCs/>
                <w:color w:val="000000" w:themeColor="text1"/>
                <w:lang w:val="it-IT"/>
              </w:rPr>
              <w:t xml:space="preserve">Ai fini della lettera </w:t>
            </w:r>
            <w:r>
              <w:rPr>
                <w:rFonts w:ascii="Times" w:hAnsi="Times" w:cs="Times"/>
                <w:bCs/>
                <w:iCs/>
                <w:color w:val="000000" w:themeColor="text1"/>
                <w:lang w:val="it-IT"/>
              </w:rPr>
              <w:t>(</w:t>
            </w:r>
            <w:r w:rsidRPr="00172F7B">
              <w:rPr>
                <w:rFonts w:ascii="Times" w:hAnsi="Times" w:cs="Times"/>
                <w:bCs/>
                <w:iCs/>
                <w:color w:val="000000" w:themeColor="text1"/>
                <w:lang w:val="it-IT"/>
              </w:rPr>
              <w:t>k), il richiedente include informazioni sulle funzioni o sulla persona responsabile dell’esternalizzazione, sulle risorse umane e TIC destinate al controllo delle funzioni, dei servizi o delle attività esternalizzati dei relativi accordi nonché sulla valutazione del rischio connesso all’esternalizzazione</w:t>
            </w:r>
            <w:r>
              <w:rPr>
                <w:rFonts w:ascii="Times" w:hAnsi="Times" w:cs="Times"/>
                <w:bCs/>
                <w:iCs/>
                <w:color w:val="000000" w:themeColor="text1"/>
                <w:lang w:val="it-IT"/>
              </w:rPr>
              <w:t>;</w:t>
            </w:r>
          </w:p>
        </w:tc>
        <w:tc>
          <w:tcPr>
            <w:tcW w:w="7513" w:type="dxa"/>
            <w:shd w:val="clear" w:color="auto" w:fill="FFFFFF" w:themeFill="background1"/>
          </w:tcPr>
          <w:p w14:paraId="5247BE1E"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29F9EE0D" w14:textId="77777777" w:rsidTr="00796739">
        <w:trPr>
          <w:trHeight w:val="498"/>
        </w:trPr>
        <w:tc>
          <w:tcPr>
            <w:tcW w:w="2726" w:type="dxa"/>
            <w:vMerge/>
            <w:shd w:val="clear" w:color="auto" w:fill="F2F2F2" w:themeFill="background1" w:themeFillShade="F2"/>
            <w:vAlign w:val="center"/>
          </w:tcPr>
          <w:p w14:paraId="569C1BBE"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DE13D83" w14:textId="77777777" w:rsidR="00D951DE" w:rsidRPr="008B23C0" w:rsidRDefault="00D951DE" w:rsidP="00A745F9">
            <w:pPr>
              <w:pStyle w:val="Paragrafoelenco"/>
              <w:spacing w:after="0" w:line="240" w:lineRule="auto"/>
              <w:ind w:left="0"/>
              <w:contextualSpacing w:val="0"/>
              <w:jc w:val="both"/>
              <w:rPr>
                <w:rFonts w:ascii="Times" w:hAnsi="Times" w:cs="Times"/>
                <w:bCs/>
                <w:i/>
                <w:color w:val="000000" w:themeColor="text1"/>
                <w:lang w:val="it-IT"/>
              </w:rPr>
            </w:pPr>
            <w:r w:rsidRPr="000406D1">
              <w:rPr>
                <w:rFonts w:ascii="Times" w:hAnsi="Times" w:cs="Times"/>
                <w:bCs/>
                <w:iCs/>
                <w:color w:val="000000" w:themeColor="text1"/>
                <w:lang w:val="it-IT"/>
              </w:rPr>
              <w:t xml:space="preserve">(l) </w:t>
            </w:r>
            <w:r w:rsidRPr="00172F7B">
              <w:rPr>
                <w:rFonts w:ascii="Times" w:hAnsi="Times" w:cs="Times"/>
                <w:bCs/>
                <w:iCs/>
                <w:color w:val="000000" w:themeColor="text1"/>
                <w:lang w:val="it-IT"/>
              </w:rPr>
              <w:t>l’elenco dei soggetti che presteranno i servizi esternalizzati, la loro ubicazione geografica e i servizi esternalizzati pertinenti</w:t>
            </w:r>
            <w:r>
              <w:rPr>
                <w:rFonts w:ascii="Times" w:hAnsi="Times" w:cs="Times"/>
                <w:bCs/>
                <w:iCs/>
                <w:color w:val="000000" w:themeColor="text1"/>
                <w:lang w:val="it-IT"/>
              </w:rPr>
              <w:t>;</w:t>
            </w:r>
          </w:p>
        </w:tc>
        <w:tc>
          <w:tcPr>
            <w:tcW w:w="7513" w:type="dxa"/>
            <w:shd w:val="clear" w:color="auto" w:fill="FFFFFF" w:themeFill="background1"/>
          </w:tcPr>
          <w:p w14:paraId="05019D3D" w14:textId="74545654"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6BF3684F" w14:textId="77777777" w:rsidTr="00796739">
        <w:trPr>
          <w:trHeight w:val="498"/>
        </w:trPr>
        <w:tc>
          <w:tcPr>
            <w:tcW w:w="2726" w:type="dxa"/>
            <w:vMerge/>
            <w:shd w:val="clear" w:color="auto" w:fill="F2F2F2" w:themeFill="background1" w:themeFillShade="F2"/>
            <w:vAlign w:val="center"/>
          </w:tcPr>
          <w:p w14:paraId="742E27BC"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9B74E49" w14:textId="77777777" w:rsidR="00D951DE" w:rsidRPr="000F5074" w:rsidRDefault="00D951DE" w:rsidP="00A745F9">
            <w:pPr>
              <w:spacing w:after="0" w:line="240" w:lineRule="auto"/>
              <w:jc w:val="both"/>
              <w:rPr>
                <w:rFonts w:ascii="Times" w:hAnsi="Times" w:cs="Times"/>
                <w:bCs/>
                <w:iCs/>
                <w:color w:val="000000" w:themeColor="text1"/>
                <w:sz w:val="20"/>
                <w:szCs w:val="20"/>
              </w:rPr>
            </w:pPr>
            <w:r w:rsidRPr="000F5074">
              <w:rPr>
                <w:rFonts w:ascii="Times" w:hAnsi="Times" w:cs="Times"/>
                <w:bCs/>
                <w:iCs/>
                <w:color w:val="000000" w:themeColor="text1"/>
                <w:sz w:val="20"/>
                <w:szCs w:val="20"/>
              </w:rPr>
              <w:t xml:space="preserve">(m) </w:t>
            </w:r>
            <w:r w:rsidRPr="00172F7B">
              <w:rPr>
                <w:rFonts w:ascii="Times" w:hAnsi="Times" w:cs="Times"/>
                <w:bCs/>
                <w:iCs/>
                <w:color w:val="000000" w:themeColor="text1"/>
                <w:sz w:val="20"/>
                <w:szCs w:val="20"/>
              </w:rPr>
              <w:t>un piano contabile previsionale comprendente scenari di stress a livello individuale e, se del caso, consolidato di gruppo e sub</w:t>
            </w:r>
            <w:r>
              <w:rPr>
                <w:rFonts w:ascii="Times" w:hAnsi="Times" w:cs="Times"/>
                <w:bCs/>
                <w:iCs/>
                <w:color w:val="000000" w:themeColor="text1"/>
                <w:sz w:val="20"/>
                <w:szCs w:val="20"/>
              </w:rPr>
              <w:t xml:space="preserve"> </w:t>
            </w:r>
            <w:r w:rsidRPr="00172F7B">
              <w:rPr>
                <w:rFonts w:ascii="Times" w:hAnsi="Times" w:cs="Times"/>
                <w:bCs/>
                <w:iCs/>
                <w:color w:val="000000" w:themeColor="text1"/>
                <w:sz w:val="20"/>
                <w:szCs w:val="20"/>
              </w:rPr>
              <w:t>consolidato conformemente alla direttiva 2013/34/UE</w:t>
            </w:r>
            <w:r>
              <w:rPr>
                <w:rFonts w:ascii="Times" w:hAnsi="Times" w:cs="Times"/>
                <w:bCs/>
                <w:iCs/>
                <w:color w:val="000000" w:themeColor="text1"/>
                <w:sz w:val="20"/>
                <w:szCs w:val="20"/>
              </w:rPr>
              <w:t>.</w:t>
            </w:r>
          </w:p>
          <w:p w14:paraId="78430B13" w14:textId="77777777" w:rsidR="00D951DE" w:rsidRPr="008B23C0" w:rsidRDefault="00D951DE" w:rsidP="00A745F9">
            <w:pPr>
              <w:pStyle w:val="Paragrafoelenco"/>
              <w:spacing w:after="0" w:line="240" w:lineRule="auto"/>
              <w:ind w:left="0"/>
              <w:contextualSpacing w:val="0"/>
              <w:jc w:val="both"/>
              <w:rPr>
                <w:rFonts w:ascii="Times" w:hAnsi="Times" w:cs="Times"/>
                <w:bCs/>
                <w:i/>
                <w:color w:val="000000" w:themeColor="text1"/>
                <w:lang w:val="it-IT"/>
              </w:rPr>
            </w:pPr>
            <w:r w:rsidRPr="00172F7B">
              <w:rPr>
                <w:rFonts w:ascii="Times" w:hAnsi="Times" w:cs="Times"/>
                <w:bCs/>
                <w:iCs/>
                <w:color w:val="000000" w:themeColor="text1"/>
                <w:lang w:val="it-IT"/>
              </w:rPr>
              <w:t xml:space="preserve">Ai fini della lettera </w:t>
            </w:r>
            <w:r>
              <w:rPr>
                <w:rFonts w:ascii="Times" w:hAnsi="Times" w:cs="Times"/>
                <w:bCs/>
                <w:iCs/>
                <w:color w:val="000000" w:themeColor="text1"/>
                <w:lang w:val="it-IT"/>
              </w:rPr>
              <w:t>(</w:t>
            </w:r>
            <w:r w:rsidRPr="00172F7B">
              <w:rPr>
                <w:rFonts w:ascii="Times" w:hAnsi="Times" w:cs="Times"/>
                <w:bCs/>
                <w:iCs/>
                <w:color w:val="000000" w:themeColor="text1"/>
                <w:lang w:val="it-IT"/>
              </w:rPr>
              <w:t>m), le previsioni finanziarie tengono conto di eventuali prestiti infragruppo che il richiedente ha concesso o concederà o che ad esso sono stati o saranno concessi.</w:t>
            </w:r>
          </w:p>
        </w:tc>
        <w:tc>
          <w:tcPr>
            <w:tcW w:w="7513" w:type="dxa"/>
            <w:shd w:val="clear" w:color="auto" w:fill="FFFFFF" w:themeFill="background1"/>
          </w:tcPr>
          <w:p w14:paraId="3F0CDFD3"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734427C0" w14:textId="77777777" w:rsidTr="00796739">
        <w:trPr>
          <w:trHeight w:val="771"/>
        </w:trPr>
        <w:tc>
          <w:tcPr>
            <w:tcW w:w="2726" w:type="dxa"/>
            <w:vMerge/>
            <w:shd w:val="clear" w:color="auto" w:fill="F2F2F2" w:themeFill="background1" w:themeFillShade="F2"/>
            <w:vAlign w:val="center"/>
          </w:tcPr>
          <w:p w14:paraId="73F5838D"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CC4A4F2" w14:textId="77777777" w:rsidR="00D951DE" w:rsidRPr="009B7EE3" w:rsidRDefault="00D951DE" w:rsidP="00A745F9">
            <w:pPr>
              <w:pStyle w:val="Paragrafoelenco"/>
              <w:spacing w:after="0" w:line="240" w:lineRule="auto"/>
              <w:ind w:left="0"/>
              <w:contextualSpacing w:val="0"/>
              <w:jc w:val="both"/>
              <w:rPr>
                <w:rFonts w:ascii="Times" w:hAnsi="Times" w:cs="Times"/>
                <w:bCs/>
                <w:iCs/>
                <w:color w:val="000000" w:themeColor="text1"/>
                <w:lang w:val="it-IT"/>
              </w:rPr>
            </w:pPr>
            <w:r w:rsidRPr="00D456BD">
              <w:rPr>
                <w:rFonts w:ascii="Times" w:hAnsi="Times" w:cs="Times"/>
                <w:bCs/>
                <w:iCs/>
                <w:color w:val="000000" w:themeColor="text1"/>
                <w:lang w:val="it-IT"/>
              </w:rPr>
              <w:t>(</w:t>
            </w:r>
            <w:r w:rsidRPr="002628C7">
              <w:rPr>
                <w:rFonts w:ascii="Times" w:hAnsi="Times" w:cs="Times"/>
                <w:bCs/>
                <w:iCs/>
                <w:color w:val="000000" w:themeColor="text1"/>
                <w:lang w:val="it-IT"/>
              </w:rPr>
              <w:t>n</w:t>
            </w:r>
            <w:r w:rsidRPr="00A12667">
              <w:rPr>
                <w:rFonts w:ascii="Times" w:hAnsi="Times" w:cs="Times"/>
                <w:bCs/>
                <w:iCs/>
                <w:color w:val="000000" w:themeColor="text1"/>
                <w:lang w:val="it-IT"/>
              </w:rPr>
              <w:t xml:space="preserve">) qualsiasi scambio di cripto-attività con fondi e altre cripto-attività che il richiedente intende effettuare, anche attraverso eventuali applicazioni di finanza decentrata con le quali il richiedente intende interagire per proprio conto; </w:t>
            </w:r>
          </w:p>
        </w:tc>
        <w:tc>
          <w:tcPr>
            <w:tcW w:w="7513" w:type="dxa"/>
            <w:shd w:val="clear" w:color="auto" w:fill="FFFFFF" w:themeFill="background1"/>
          </w:tcPr>
          <w:p w14:paraId="0EF8A0F9" w14:textId="77777777" w:rsidR="00D951DE" w:rsidRPr="00EB6EC5" w:rsidRDefault="00D951DE" w:rsidP="00EB6EC5">
            <w:pPr>
              <w:spacing w:after="0" w:line="240" w:lineRule="auto"/>
              <w:jc w:val="both"/>
              <w:rPr>
                <w:rFonts w:ascii="Times" w:hAnsi="Times" w:cs="Times"/>
                <w:iCs/>
                <w:color w:val="000000" w:themeColor="text1"/>
                <w:sz w:val="20"/>
                <w:szCs w:val="20"/>
              </w:rPr>
            </w:pPr>
          </w:p>
        </w:tc>
      </w:tr>
      <w:tr w:rsidR="00D951DE" w:rsidRPr="00BF6CB3" w14:paraId="431C1F87" w14:textId="77777777" w:rsidTr="00796739">
        <w:trPr>
          <w:trHeight w:val="1496"/>
        </w:trPr>
        <w:tc>
          <w:tcPr>
            <w:tcW w:w="2726" w:type="dxa"/>
            <w:vMerge/>
            <w:shd w:val="clear" w:color="auto" w:fill="F2F2F2" w:themeFill="background1" w:themeFillShade="F2"/>
            <w:vAlign w:val="center"/>
          </w:tcPr>
          <w:p w14:paraId="18B5F2E7"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7344F07" w14:textId="77777777" w:rsidR="00D951DE" w:rsidRPr="003D0CF9" w:rsidRDefault="00D951DE" w:rsidP="00A745F9">
            <w:pPr>
              <w:spacing w:after="0" w:line="240" w:lineRule="auto"/>
              <w:jc w:val="both"/>
              <w:rPr>
                <w:rFonts w:ascii="Times" w:hAnsi="Times" w:cs="Times"/>
                <w:i/>
                <w:iCs/>
                <w:sz w:val="20"/>
                <w:szCs w:val="20"/>
              </w:rPr>
            </w:pPr>
            <w:r w:rsidRPr="00271315">
              <w:rPr>
                <w:rFonts w:ascii="Times" w:eastAsia="MS Mincho" w:hAnsi="Times" w:cs="Times"/>
                <w:bCs/>
                <w:iCs/>
                <w:color w:val="000000" w:themeColor="text1"/>
                <w:sz w:val="20"/>
                <w:szCs w:val="20"/>
                <w:lang w:eastAsia="en-GB"/>
              </w:rPr>
              <w:t>(o</w:t>
            </w:r>
            <w:r>
              <w:rPr>
                <w:rFonts w:ascii="Times" w:eastAsia="MS Mincho" w:hAnsi="Times" w:cs="Times"/>
                <w:bCs/>
                <w:iCs/>
                <w:color w:val="000000" w:themeColor="text1"/>
                <w:sz w:val="20"/>
                <w:szCs w:val="20"/>
                <w:lang w:eastAsia="en-GB"/>
              </w:rPr>
              <w:t xml:space="preserve">) </w:t>
            </w:r>
            <w:r w:rsidRPr="0020146B">
              <w:rPr>
                <w:rFonts w:ascii="Times" w:eastAsia="MS Mincho" w:hAnsi="Times" w:cs="Times"/>
                <w:bCs/>
                <w:iCs/>
                <w:color w:val="000000" w:themeColor="text1"/>
                <w:sz w:val="20"/>
                <w:szCs w:val="20"/>
                <w:lang w:eastAsia="en-GB"/>
              </w:rPr>
              <w:t>I richiedenti, qualora intendano prestare il servizio di ricezione e trasmissione di ordini di cripto-attività per conto di clienti, forniscono alle autorità competenti una copia delle procedure e una descrizione dei dispositivi che garantiscono la conformità all’articolo 80 del regolamento (UE) 2023/1114</w:t>
            </w:r>
            <w:r w:rsidRPr="003D0CF9">
              <w:rPr>
                <w:rFonts w:ascii="Times" w:eastAsia="MS Mincho" w:hAnsi="Times" w:cs="Times"/>
                <w:bCs/>
                <w:iCs/>
                <w:color w:val="000000" w:themeColor="text1"/>
                <w:sz w:val="20"/>
                <w:szCs w:val="20"/>
                <w:lang w:eastAsia="en-GB"/>
              </w:rPr>
              <w:t xml:space="preserve">. </w:t>
            </w:r>
          </w:p>
        </w:tc>
        <w:tc>
          <w:tcPr>
            <w:tcW w:w="7513" w:type="dxa"/>
            <w:shd w:val="clear" w:color="auto" w:fill="FFFFFF" w:themeFill="background1"/>
          </w:tcPr>
          <w:p w14:paraId="4CC8817B"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2EE48D94" w14:textId="77777777" w:rsidTr="00796739">
        <w:trPr>
          <w:trHeight w:val="1495"/>
        </w:trPr>
        <w:tc>
          <w:tcPr>
            <w:tcW w:w="2726" w:type="dxa"/>
            <w:vMerge/>
            <w:shd w:val="clear" w:color="auto" w:fill="F2F2F2" w:themeFill="background1" w:themeFillShade="F2"/>
            <w:vAlign w:val="center"/>
          </w:tcPr>
          <w:p w14:paraId="28F261B3" w14:textId="77777777" w:rsidR="00D951DE" w:rsidRPr="00B27851"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59AD9D4" w14:textId="77777777" w:rsidR="00D951DE" w:rsidRPr="003D0CF9" w:rsidRDefault="00D951DE" w:rsidP="00A745F9">
            <w:pPr>
              <w:spacing w:after="0" w:line="240" w:lineRule="auto"/>
              <w:jc w:val="both"/>
              <w:rPr>
                <w:rFonts w:ascii="Times" w:eastAsia="MS Mincho" w:hAnsi="Times" w:cs="Times"/>
                <w:bCs/>
                <w:i/>
                <w:color w:val="000000" w:themeColor="text1"/>
                <w:sz w:val="20"/>
                <w:szCs w:val="20"/>
                <w:lang w:eastAsia="en-GB"/>
              </w:rPr>
            </w:pPr>
            <w:r w:rsidRPr="00271315">
              <w:rPr>
                <w:rFonts w:ascii="Times" w:eastAsia="MS Mincho" w:hAnsi="Times" w:cs="Times"/>
                <w:bCs/>
                <w:iCs/>
                <w:color w:val="000000" w:themeColor="text1"/>
                <w:sz w:val="20"/>
                <w:szCs w:val="20"/>
                <w:lang w:eastAsia="en-GB"/>
              </w:rPr>
              <w:t xml:space="preserve">(p) </w:t>
            </w:r>
            <w:r w:rsidRPr="0020146B">
              <w:rPr>
                <w:rFonts w:ascii="Times" w:eastAsia="MS Mincho" w:hAnsi="Times" w:cs="Times"/>
                <w:bCs/>
                <w:iCs/>
                <w:color w:val="000000" w:themeColor="text1"/>
                <w:sz w:val="20"/>
                <w:szCs w:val="20"/>
                <w:lang w:eastAsia="en-GB"/>
              </w:rPr>
              <w:t>I richiedenti, qualora intendano prestare il servizio di collocamento di cripto-attività, forniscono alle autorità competenti una copia delle procedure per individuare, prevenire, gestire e segnalare i conflitti di interesse e una descrizione dei dispositivi attuati per conformarsi all’articolo 79 del regolamento (UE) 2023/1114 e al regolamento delegato della Commissione che stabilisce norme tecniche adottate a norma dell’articolo 72, paragrafo 5, del regolamento (UE) 2023/1114</w:t>
            </w:r>
            <w:r w:rsidRPr="003D0CF9">
              <w:rPr>
                <w:rFonts w:ascii="Times" w:eastAsia="MS Mincho" w:hAnsi="Times" w:cs="Times"/>
                <w:bCs/>
                <w:iCs/>
                <w:color w:val="000000" w:themeColor="text1"/>
                <w:sz w:val="20"/>
                <w:szCs w:val="20"/>
                <w:lang w:eastAsia="en-GB"/>
              </w:rPr>
              <w:t xml:space="preserve">. </w:t>
            </w:r>
          </w:p>
        </w:tc>
        <w:tc>
          <w:tcPr>
            <w:tcW w:w="7513" w:type="dxa"/>
            <w:shd w:val="clear" w:color="auto" w:fill="FFFFFF" w:themeFill="background1"/>
          </w:tcPr>
          <w:p w14:paraId="50A396FF" w14:textId="77777777"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BF6CB3" w14:paraId="0AF59DE0" w14:textId="77777777" w:rsidTr="00796739">
        <w:trPr>
          <w:trHeight w:val="1495"/>
        </w:trPr>
        <w:tc>
          <w:tcPr>
            <w:tcW w:w="2726" w:type="dxa"/>
            <w:shd w:val="clear" w:color="auto" w:fill="DEEAF6" w:themeFill="accent1" w:themeFillTint="33"/>
            <w:vAlign w:val="center"/>
          </w:tcPr>
          <w:p w14:paraId="1118318C" w14:textId="77777777" w:rsidR="00D951DE" w:rsidRPr="000057D4" w:rsidRDefault="00D951DE" w:rsidP="00A745F9">
            <w:pPr>
              <w:spacing w:after="0" w:line="240" w:lineRule="auto"/>
              <w:jc w:val="both"/>
              <w:rPr>
                <w:rFonts w:ascii="Times" w:hAnsi="Times" w:cs="Times"/>
                <w:b/>
                <w:bCs/>
                <w:sz w:val="20"/>
                <w:szCs w:val="20"/>
              </w:rPr>
            </w:pPr>
            <w:r w:rsidRPr="000057D4">
              <w:rPr>
                <w:rFonts w:ascii="Times" w:hAnsi="Times" w:cs="Times"/>
                <w:b/>
                <w:bCs/>
                <w:sz w:val="20"/>
                <w:szCs w:val="20"/>
              </w:rPr>
              <w:t>Integrazioni</w:t>
            </w:r>
            <w:r>
              <w:rPr>
                <w:rFonts w:ascii="Times" w:hAnsi="Times" w:cs="Times"/>
                <w:b/>
                <w:bCs/>
                <w:sz w:val="20"/>
                <w:szCs w:val="20"/>
              </w:rPr>
              <w:t xml:space="preserve"> necessarie</w:t>
            </w:r>
            <w:r w:rsidRPr="000057D4">
              <w:rPr>
                <w:rFonts w:ascii="Times" w:hAnsi="Times" w:cs="Times"/>
                <w:b/>
                <w:bCs/>
                <w:sz w:val="20"/>
                <w:szCs w:val="20"/>
              </w:rPr>
              <w:t xml:space="preserve"> in caso</w:t>
            </w:r>
            <w:r>
              <w:rPr>
                <w:rFonts w:ascii="Times" w:hAnsi="Times" w:cs="Times"/>
                <w:b/>
                <w:bCs/>
                <w:sz w:val="20"/>
                <w:szCs w:val="20"/>
              </w:rPr>
              <w:t xml:space="preserve"> di istanza come PSP</w:t>
            </w:r>
            <w:r w:rsidRPr="000057D4">
              <w:rPr>
                <w:rFonts w:ascii="Times" w:hAnsi="Times" w:cs="Times"/>
                <w:b/>
                <w:bCs/>
                <w:sz w:val="20"/>
                <w:szCs w:val="20"/>
              </w:rPr>
              <w:t xml:space="preserve"> </w:t>
            </w:r>
          </w:p>
        </w:tc>
        <w:tc>
          <w:tcPr>
            <w:tcW w:w="4640" w:type="dxa"/>
            <w:shd w:val="clear" w:color="auto" w:fill="DEEAF6" w:themeFill="accent1" w:themeFillTint="33"/>
          </w:tcPr>
          <w:p w14:paraId="683185F9" w14:textId="77777777" w:rsidR="00D951DE" w:rsidRPr="00271315" w:rsidRDefault="00D951DE" w:rsidP="00A745F9">
            <w:pPr>
              <w:spacing w:after="0" w:line="240" w:lineRule="auto"/>
              <w:jc w:val="both"/>
              <w:rPr>
                <w:rFonts w:ascii="Times" w:eastAsia="MS Mincho" w:hAnsi="Times" w:cs="Times"/>
                <w:bCs/>
                <w:iCs/>
                <w:color w:val="000000" w:themeColor="text1"/>
                <w:sz w:val="20"/>
                <w:szCs w:val="20"/>
                <w:lang w:eastAsia="en-GB"/>
              </w:rPr>
            </w:pPr>
            <w:r w:rsidRPr="007D69CB">
              <w:rPr>
                <w:rFonts w:ascii="Times" w:eastAsia="Times New Roman" w:hAnsi="Times" w:cs="Times"/>
                <w:iCs/>
                <w:sz w:val="20"/>
                <w:szCs w:val="20"/>
              </w:rPr>
              <w:t xml:space="preserve">I CASP </w:t>
            </w:r>
            <w:r>
              <w:rPr>
                <w:rFonts w:ascii="Times" w:eastAsia="Times New Roman" w:hAnsi="Times" w:cs="Times"/>
                <w:iCs/>
                <w:sz w:val="20"/>
                <w:szCs w:val="20"/>
              </w:rPr>
              <w:t>che intendono richiedere autorizzazione anche come PSP</w:t>
            </w:r>
            <w:r w:rsidRPr="007D69CB">
              <w:rPr>
                <w:rFonts w:ascii="Times" w:eastAsia="Times New Roman" w:hAnsi="Times" w:cs="Times"/>
                <w:iCs/>
                <w:sz w:val="20"/>
                <w:szCs w:val="20"/>
              </w:rPr>
              <w:t xml:space="preserve"> </w:t>
            </w:r>
            <w:r>
              <w:rPr>
                <w:rFonts w:ascii="Times" w:eastAsia="MS Mincho" w:hAnsi="Times" w:cs="Times"/>
                <w:bCs/>
                <w:iCs/>
                <w:color w:val="000000" w:themeColor="text1"/>
                <w:sz w:val="20"/>
                <w:szCs w:val="20"/>
                <w:lang w:eastAsia="en-GB"/>
              </w:rPr>
              <w:t>forniscono anche le ulteriori informazioni previste dalle Disposizioni di Vigilanza per IP e IMEL</w:t>
            </w:r>
            <w:r>
              <w:t xml:space="preserve"> (</w:t>
            </w:r>
            <w:r w:rsidRPr="000057D4">
              <w:rPr>
                <w:rFonts w:ascii="Times" w:eastAsia="MS Mincho" w:hAnsi="Times" w:cs="Times"/>
                <w:bCs/>
                <w:iCs/>
                <w:color w:val="000000" w:themeColor="text1"/>
                <w:sz w:val="20"/>
                <w:szCs w:val="20"/>
                <w:lang w:eastAsia="en-GB"/>
              </w:rPr>
              <w:t>Capitolo II, Sezione III</w:t>
            </w:r>
            <w:r>
              <w:rPr>
                <w:rFonts w:ascii="Times" w:eastAsia="MS Mincho" w:hAnsi="Times" w:cs="Times"/>
                <w:bCs/>
                <w:iCs/>
                <w:color w:val="000000" w:themeColor="text1"/>
                <w:sz w:val="20"/>
                <w:szCs w:val="20"/>
                <w:lang w:eastAsia="en-GB"/>
              </w:rPr>
              <w:t>, punto IV</w:t>
            </w:r>
            <w:r w:rsidRPr="000057D4">
              <w:rPr>
                <w:rFonts w:ascii="Times" w:eastAsia="MS Mincho" w:hAnsi="Times" w:cs="Times"/>
                <w:bCs/>
                <w:iCs/>
                <w:color w:val="000000" w:themeColor="text1"/>
                <w:sz w:val="20"/>
                <w:szCs w:val="20"/>
                <w:lang w:eastAsia="en-GB"/>
              </w:rPr>
              <w:t>)</w:t>
            </w:r>
            <w:r>
              <w:rPr>
                <w:rFonts w:ascii="Times" w:eastAsia="MS Mincho" w:hAnsi="Times" w:cs="Times"/>
                <w:bCs/>
                <w:iCs/>
                <w:color w:val="000000" w:themeColor="text1"/>
                <w:sz w:val="20"/>
                <w:szCs w:val="20"/>
                <w:lang w:eastAsia="en-GB"/>
              </w:rPr>
              <w:t>.</w:t>
            </w:r>
          </w:p>
        </w:tc>
        <w:tc>
          <w:tcPr>
            <w:tcW w:w="7513" w:type="dxa"/>
            <w:shd w:val="clear" w:color="auto" w:fill="DEEAF6" w:themeFill="accent1" w:themeFillTint="33"/>
          </w:tcPr>
          <w:p w14:paraId="4EED918D" w14:textId="148D81C4" w:rsidR="00D951DE" w:rsidRPr="00EB6EC5" w:rsidRDefault="00D951DE" w:rsidP="00A745F9">
            <w:pPr>
              <w:spacing w:after="0" w:line="240" w:lineRule="auto"/>
              <w:jc w:val="both"/>
              <w:rPr>
                <w:rFonts w:ascii="Times" w:hAnsi="Times" w:cs="Times"/>
                <w:iCs/>
                <w:color w:val="000000" w:themeColor="text1"/>
                <w:sz w:val="20"/>
                <w:szCs w:val="20"/>
              </w:rPr>
            </w:pPr>
          </w:p>
        </w:tc>
      </w:tr>
      <w:tr w:rsidR="00D951DE" w:rsidRPr="000F5074" w14:paraId="6C51104E" w14:textId="77777777" w:rsidTr="00A745F9">
        <w:trPr>
          <w:trHeight w:val="482"/>
        </w:trPr>
        <w:tc>
          <w:tcPr>
            <w:tcW w:w="14879" w:type="dxa"/>
            <w:gridSpan w:val="3"/>
            <w:shd w:val="clear" w:color="auto" w:fill="2E74B5" w:themeFill="accent1" w:themeFillShade="BF"/>
            <w:vAlign w:val="center"/>
          </w:tcPr>
          <w:p w14:paraId="0BB65114" w14:textId="77777777" w:rsidR="00D951DE" w:rsidRPr="00D456BD" w:rsidRDefault="00D951DE" w:rsidP="00A745F9">
            <w:pPr>
              <w:pStyle w:val="Paragrafoelenco"/>
              <w:numPr>
                <w:ilvl w:val="0"/>
                <w:numId w:val="29"/>
              </w:numPr>
              <w:spacing w:after="0" w:line="240" w:lineRule="auto"/>
              <w:jc w:val="both"/>
              <w:rPr>
                <w:rFonts w:ascii="Times" w:eastAsia="Times New Roman" w:hAnsi="Times" w:cs="Times"/>
                <w:b/>
                <w:bCs/>
              </w:rPr>
            </w:pPr>
            <w:r w:rsidRPr="004C37A1">
              <w:rPr>
                <w:rFonts w:ascii="Times" w:eastAsia="Times New Roman" w:hAnsi="Times" w:cs="Times"/>
                <w:b/>
                <w:bCs/>
                <w:color w:val="FFFFFF" w:themeColor="background1"/>
              </w:rPr>
              <w:t xml:space="preserve">REQUISITI PRUDENZIALI </w:t>
            </w:r>
          </w:p>
        </w:tc>
      </w:tr>
      <w:tr w:rsidR="00D951DE" w:rsidRPr="00BF6CB3" w14:paraId="3EC0C09E" w14:textId="77777777" w:rsidTr="00111686">
        <w:trPr>
          <w:trHeight w:val="374"/>
        </w:trPr>
        <w:tc>
          <w:tcPr>
            <w:tcW w:w="7366" w:type="dxa"/>
            <w:gridSpan w:val="2"/>
            <w:shd w:val="clear" w:color="auto" w:fill="F2F2F2" w:themeFill="background1" w:themeFillShade="F2"/>
            <w:vAlign w:val="center"/>
          </w:tcPr>
          <w:p w14:paraId="7CEB6855" w14:textId="77777777" w:rsidR="00D951DE" w:rsidRPr="005235C1" w:rsidRDefault="00D951DE" w:rsidP="00A745F9">
            <w:pPr>
              <w:spacing w:after="0" w:line="240" w:lineRule="auto"/>
              <w:jc w:val="both"/>
              <w:rPr>
                <w:rFonts w:ascii="Times" w:hAnsi="Times" w:cs="Times"/>
                <w:sz w:val="20"/>
                <w:szCs w:val="20"/>
              </w:rPr>
            </w:pPr>
            <w:r w:rsidRPr="00C63220">
              <w:rPr>
                <w:rFonts w:ascii="Times" w:hAnsi="Times" w:cs="Times"/>
                <w:sz w:val="20"/>
                <w:szCs w:val="20"/>
              </w:rPr>
              <w:t xml:space="preserve">Ai </w:t>
            </w:r>
            <w:r>
              <w:rPr>
                <w:rFonts w:ascii="Times" w:hAnsi="Times" w:cs="Times"/>
                <w:sz w:val="20"/>
                <w:szCs w:val="20"/>
              </w:rPr>
              <w:t>sensi</w:t>
            </w:r>
            <w:r w:rsidRPr="00C63220">
              <w:rPr>
                <w:rFonts w:ascii="Times" w:hAnsi="Times" w:cs="Times"/>
                <w:sz w:val="20"/>
                <w:szCs w:val="20"/>
              </w:rPr>
              <w:t xml:space="preserve"> dell’articolo 62, paragrafo 2, lettera e), del regolamento (UE) 2023/1114</w:t>
            </w:r>
            <w:r>
              <w:rPr>
                <w:rFonts w:ascii="Times" w:hAnsi="Times" w:cs="Times"/>
                <w:sz w:val="20"/>
                <w:szCs w:val="20"/>
              </w:rPr>
              <w:t xml:space="preserve"> e dell’articolo 3 del regolamento delegato (UE) della Commissione 2025/305</w:t>
            </w:r>
            <w:r w:rsidRPr="00C63220">
              <w:rPr>
                <w:rFonts w:ascii="Times" w:hAnsi="Times" w:cs="Times"/>
                <w:sz w:val="20"/>
                <w:szCs w:val="20"/>
              </w:rPr>
              <w:t>, i richiedenti forniscono all’autorità competente tutte le informazioni seguenti:</w:t>
            </w:r>
          </w:p>
        </w:tc>
        <w:tc>
          <w:tcPr>
            <w:tcW w:w="7513" w:type="dxa"/>
            <w:shd w:val="clear" w:color="auto" w:fill="F2F2F2" w:themeFill="background1" w:themeFillShade="F2"/>
          </w:tcPr>
          <w:p w14:paraId="6E0E8993" w14:textId="77777777" w:rsidR="00D951DE" w:rsidRDefault="00D951DE" w:rsidP="00A745F9">
            <w:pPr>
              <w:spacing w:after="0" w:line="240" w:lineRule="auto"/>
              <w:jc w:val="both"/>
              <w:rPr>
                <w:rFonts w:ascii="Times" w:eastAsia="Times New Roman" w:hAnsi="Times" w:cs="Times"/>
                <w:i/>
                <w:iCs/>
                <w:sz w:val="20"/>
                <w:szCs w:val="20"/>
                <w:lang w:eastAsia="en-GB"/>
              </w:rPr>
            </w:pPr>
            <w:r w:rsidRPr="00E313C3">
              <w:rPr>
                <w:rFonts w:ascii="Times" w:eastAsia="Times New Roman" w:hAnsi="Times" w:cs="Times"/>
                <w:i/>
                <w:iCs/>
                <w:color w:val="2E74B5" w:themeColor="accent1" w:themeShade="BF"/>
                <w:sz w:val="20"/>
                <w:szCs w:val="20"/>
                <w:lang w:eastAsia="en-GB"/>
              </w:rPr>
              <w:t xml:space="preserve">Le informazioni di dettaglio potranno essere fornite nell'Allegato 3, suddividendole in paragrafi. Inoltre, a corredo delle informazioni raccolte nel presente modulo occorre trasmettere il prospetto </w:t>
            </w:r>
            <w:proofErr w:type="spellStart"/>
            <w:r w:rsidRPr="00E313C3">
              <w:rPr>
                <w:rFonts w:ascii="Times" w:eastAsia="Times New Roman" w:hAnsi="Times" w:cs="Times"/>
                <w:i/>
                <w:iCs/>
                <w:color w:val="2E74B5" w:themeColor="accent1" w:themeShade="BF"/>
                <w:sz w:val="20"/>
                <w:szCs w:val="20"/>
                <w:lang w:eastAsia="en-GB"/>
              </w:rPr>
              <w:t>excel</w:t>
            </w:r>
            <w:proofErr w:type="spellEnd"/>
            <w:r w:rsidRPr="00E313C3">
              <w:rPr>
                <w:rFonts w:ascii="Times" w:eastAsia="Times New Roman" w:hAnsi="Times" w:cs="Times"/>
                <w:i/>
                <w:iCs/>
                <w:color w:val="2E74B5" w:themeColor="accent1" w:themeShade="BF"/>
                <w:sz w:val="20"/>
                <w:szCs w:val="20"/>
                <w:lang w:eastAsia="en-GB"/>
              </w:rPr>
              <w:t xml:space="preserve"> allegato al presente modulo e scaricabile dal sito della Consob e della Banca d’Italia</w:t>
            </w:r>
            <w:r>
              <w:rPr>
                <w:rFonts w:ascii="Times" w:eastAsia="Times New Roman" w:hAnsi="Times" w:cs="Times"/>
                <w:i/>
                <w:iCs/>
                <w:color w:val="2E74B5" w:themeColor="accent1" w:themeShade="BF"/>
                <w:sz w:val="20"/>
                <w:szCs w:val="20"/>
                <w:lang w:eastAsia="en-GB"/>
              </w:rPr>
              <w:t xml:space="preserve"> </w:t>
            </w:r>
            <w:r w:rsidRPr="00E313C3">
              <w:rPr>
                <w:rFonts w:ascii="Times" w:eastAsia="Times New Roman" w:hAnsi="Times" w:cs="Times"/>
                <w:i/>
                <w:iCs/>
                <w:color w:val="2E74B5" w:themeColor="accent1" w:themeShade="BF"/>
                <w:sz w:val="20"/>
                <w:szCs w:val="20"/>
                <w:lang w:eastAsia="en-GB"/>
              </w:rPr>
              <w:t>da valorizzare con le informazioni relative ai piani previsionali e al programma di attività (</w:t>
            </w:r>
            <w:r>
              <w:rPr>
                <w:rFonts w:ascii="Times" w:eastAsia="Times New Roman" w:hAnsi="Times" w:cs="Times"/>
                <w:i/>
                <w:iCs/>
                <w:color w:val="2E74B5" w:themeColor="accent1" w:themeShade="BF"/>
                <w:sz w:val="20"/>
                <w:szCs w:val="20"/>
                <w:lang w:eastAsia="en-GB"/>
              </w:rPr>
              <w:t xml:space="preserve">cfr. </w:t>
            </w:r>
            <w:r w:rsidRPr="00E313C3">
              <w:rPr>
                <w:rFonts w:ascii="Times" w:eastAsia="Times New Roman" w:hAnsi="Times" w:cs="Times"/>
                <w:i/>
                <w:iCs/>
                <w:color w:val="2E74B5" w:themeColor="accent1" w:themeShade="BF"/>
                <w:sz w:val="20"/>
                <w:szCs w:val="20"/>
                <w:lang w:eastAsia="en-GB"/>
              </w:rPr>
              <w:t>Allegato 2.1).</w:t>
            </w:r>
          </w:p>
        </w:tc>
      </w:tr>
      <w:tr w:rsidR="00D951DE" w:rsidRPr="003F5978" w14:paraId="09D1472E" w14:textId="77777777" w:rsidTr="00E54B34">
        <w:trPr>
          <w:trHeight w:val="624"/>
        </w:trPr>
        <w:tc>
          <w:tcPr>
            <w:tcW w:w="2726" w:type="dxa"/>
            <w:vMerge w:val="restart"/>
            <w:shd w:val="clear" w:color="auto" w:fill="F2F2F2" w:themeFill="background1" w:themeFillShade="F2"/>
            <w:vAlign w:val="center"/>
          </w:tcPr>
          <w:p w14:paraId="03AA3CC0" w14:textId="77777777" w:rsidR="00D951DE" w:rsidRPr="008B23C0" w:rsidRDefault="00D951DE" w:rsidP="00A745F9">
            <w:pPr>
              <w:spacing w:after="0" w:line="240" w:lineRule="auto"/>
              <w:jc w:val="both"/>
              <w:rPr>
                <w:rFonts w:ascii="Times" w:hAnsi="Times" w:cs="Times"/>
                <w:b/>
                <w:bCs/>
                <w:sz w:val="20"/>
                <w:szCs w:val="20"/>
              </w:rPr>
            </w:pPr>
            <w:r>
              <w:rPr>
                <w:rFonts w:ascii="Times" w:hAnsi="Times" w:cs="Times"/>
                <w:b/>
                <w:bCs/>
                <w:sz w:val="20"/>
                <w:szCs w:val="20"/>
              </w:rPr>
              <w:t xml:space="preserve">1. </w:t>
            </w:r>
            <w:r w:rsidRPr="000F5074">
              <w:rPr>
                <w:rFonts w:ascii="Times" w:hAnsi="Times" w:cs="Times"/>
                <w:b/>
                <w:bCs/>
                <w:sz w:val="20"/>
                <w:szCs w:val="20"/>
              </w:rPr>
              <w:t>Requisiti Prudenziali</w:t>
            </w:r>
          </w:p>
        </w:tc>
        <w:tc>
          <w:tcPr>
            <w:tcW w:w="4640" w:type="dxa"/>
            <w:shd w:val="clear" w:color="auto" w:fill="F2F2F2" w:themeFill="background1" w:themeFillShade="F2"/>
          </w:tcPr>
          <w:p w14:paraId="34E952F0" w14:textId="77777777" w:rsidR="00D951DE" w:rsidRPr="000F5074" w:rsidRDefault="00D951DE" w:rsidP="00A745F9">
            <w:pPr>
              <w:spacing w:after="0" w:line="240" w:lineRule="auto"/>
              <w:jc w:val="both"/>
              <w:rPr>
                <w:rFonts w:ascii="Times" w:hAnsi="Times" w:cs="Times"/>
                <w:sz w:val="20"/>
                <w:szCs w:val="20"/>
              </w:rPr>
            </w:pPr>
            <w:r w:rsidRPr="000F5074">
              <w:rPr>
                <w:rFonts w:ascii="Times" w:hAnsi="Times" w:cs="Times"/>
                <w:sz w:val="20"/>
                <w:szCs w:val="20"/>
              </w:rPr>
              <w:t xml:space="preserve">(a) </w:t>
            </w:r>
            <w:r w:rsidRPr="0020146B">
              <w:rPr>
                <w:rFonts w:ascii="Times" w:hAnsi="Times" w:cs="Times"/>
                <w:sz w:val="20"/>
                <w:szCs w:val="20"/>
              </w:rPr>
              <w:t>una descrizione delle tutele prudenziali del richiedente di cui all’articolo 67 del regolamento (UE) 2023/1114, comprendente</w:t>
            </w:r>
            <w:r w:rsidRPr="000F5074">
              <w:rPr>
                <w:rFonts w:ascii="Times" w:hAnsi="Times" w:cs="Times"/>
                <w:sz w:val="20"/>
                <w:szCs w:val="20"/>
              </w:rPr>
              <w:t>:</w:t>
            </w:r>
          </w:p>
          <w:p w14:paraId="761F9C13" w14:textId="77777777" w:rsidR="00D951DE" w:rsidRPr="005A3EFB" w:rsidRDefault="00D951DE" w:rsidP="00A745F9">
            <w:pPr>
              <w:pStyle w:val="Paragrafoelenco"/>
              <w:numPr>
                <w:ilvl w:val="0"/>
                <w:numId w:val="17"/>
              </w:numPr>
              <w:spacing w:after="0" w:line="240" w:lineRule="auto"/>
              <w:contextualSpacing w:val="0"/>
              <w:jc w:val="both"/>
              <w:rPr>
                <w:rFonts w:ascii="Times" w:hAnsi="Times" w:cs="Times"/>
                <w:lang w:val="it-IT"/>
              </w:rPr>
            </w:pPr>
            <w:r w:rsidRPr="0020146B">
              <w:rPr>
                <w:rFonts w:ascii="Times" w:hAnsi="Times" w:cs="Times"/>
                <w:lang w:val="it-IT"/>
              </w:rPr>
              <w:lastRenderedPageBreak/>
              <w:t>l’importo delle tutele prudenziali al momento della domanda di autorizzazione e la descrizione delle ipotesi utilizzate per il calcolo di tale importo</w:t>
            </w:r>
            <w:r w:rsidRPr="005A3EFB">
              <w:rPr>
                <w:rFonts w:ascii="Times" w:hAnsi="Times" w:cs="Times"/>
                <w:lang w:val="it-IT"/>
              </w:rPr>
              <w:t xml:space="preserve">; </w:t>
            </w:r>
          </w:p>
          <w:p w14:paraId="35B36B68" w14:textId="77777777" w:rsidR="00D951DE" w:rsidRDefault="00D951DE" w:rsidP="00A745F9">
            <w:pPr>
              <w:pStyle w:val="Paragrafoelenco"/>
              <w:numPr>
                <w:ilvl w:val="0"/>
                <w:numId w:val="17"/>
              </w:numPr>
              <w:spacing w:after="0" w:line="240" w:lineRule="auto"/>
              <w:contextualSpacing w:val="0"/>
              <w:jc w:val="both"/>
              <w:rPr>
                <w:rFonts w:ascii="Times" w:hAnsi="Times" w:cs="Times"/>
                <w:lang w:val="it-IT"/>
              </w:rPr>
            </w:pPr>
            <w:r w:rsidRPr="007C5088">
              <w:rPr>
                <w:rFonts w:ascii="Times" w:hAnsi="Times" w:cs="Times"/>
                <w:lang w:val="it-IT"/>
              </w:rPr>
              <w:t>l’importo delle tutele prudenziali coperte da fondi propri di cui all’articolo 67, paragrafo 4, lettera a), del regolamento (UE) 2023/1114, se del caso</w:t>
            </w:r>
            <w:r>
              <w:rPr>
                <w:rFonts w:ascii="Times" w:hAnsi="Times" w:cs="Times"/>
                <w:lang w:val="it-IT"/>
              </w:rPr>
              <w:t>;</w:t>
            </w:r>
          </w:p>
          <w:p w14:paraId="3F2C3AD7" w14:textId="77777777" w:rsidR="00D951DE" w:rsidRPr="009F123C" w:rsidRDefault="00D951DE" w:rsidP="00A745F9">
            <w:pPr>
              <w:pStyle w:val="Paragrafoelenco"/>
              <w:numPr>
                <w:ilvl w:val="0"/>
                <w:numId w:val="17"/>
              </w:numPr>
              <w:spacing w:after="0" w:line="240" w:lineRule="auto"/>
              <w:contextualSpacing w:val="0"/>
              <w:jc w:val="both"/>
              <w:rPr>
                <w:rFonts w:ascii="Times" w:hAnsi="Times" w:cs="Times"/>
                <w:lang w:val="it-IT"/>
              </w:rPr>
            </w:pPr>
            <w:r w:rsidRPr="007C5088">
              <w:rPr>
                <w:rFonts w:ascii="Times" w:hAnsi="Times" w:cs="Times"/>
                <w:lang w:val="it-IT"/>
              </w:rPr>
              <w:t>l’importo delle tutele prudenziali del richiedente coperte da una polizza assicurativa di cui all’articolo 67, paragrafo 4, lettera b), del regolamento (UE) 2023/1114, se del caso</w:t>
            </w:r>
            <w:r>
              <w:rPr>
                <w:rFonts w:ascii="Times" w:hAnsi="Times" w:cs="Times"/>
                <w:lang w:val="it-IT"/>
              </w:rPr>
              <w:t>;</w:t>
            </w:r>
          </w:p>
        </w:tc>
        <w:tc>
          <w:tcPr>
            <w:tcW w:w="7513" w:type="dxa"/>
            <w:shd w:val="clear" w:color="auto" w:fill="FFFFFF" w:themeFill="background1"/>
          </w:tcPr>
          <w:p w14:paraId="30AD7794" w14:textId="0C637122"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65DE4893" w14:textId="77777777" w:rsidTr="00E54B34">
        <w:trPr>
          <w:trHeight w:val="624"/>
        </w:trPr>
        <w:tc>
          <w:tcPr>
            <w:tcW w:w="2726" w:type="dxa"/>
            <w:vMerge/>
            <w:shd w:val="clear" w:color="auto" w:fill="F2F2F2" w:themeFill="background1" w:themeFillShade="F2"/>
            <w:vAlign w:val="center"/>
          </w:tcPr>
          <w:p w14:paraId="3CA45E18"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8BA82E8" w14:textId="77777777" w:rsidR="00D951DE" w:rsidRPr="000F5074" w:rsidRDefault="00D951DE" w:rsidP="00A745F9">
            <w:pPr>
              <w:spacing w:after="0" w:line="240" w:lineRule="auto"/>
              <w:jc w:val="both"/>
              <w:rPr>
                <w:rFonts w:ascii="Times" w:hAnsi="Times" w:cs="Times"/>
                <w:sz w:val="20"/>
                <w:szCs w:val="20"/>
              </w:rPr>
            </w:pPr>
            <w:r w:rsidRPr="000F5074">
              <w:rPr>
                <w:rFonts w:ascii="Times" w:hAnsi="Times" w:cs="Times"/>
                <w:sz w:val="20"/>
                <w:szCs w:val="20"/>
              </w:rPr>
              <w:t xml:space="preserve">(b) </w:t>
            </w:r>
            <w:r w:rsidRPr="007C5088">
              <w:rPr>
                <w:rFonts w:ascii="Times" w:hAnsi="Times" w:cs="Times"/>
                <w:sz w:val="20"/>
                <w:szCs w:val="20"/>
              </w:rPr>
              <w:t>i calcoli previsionali e i piani per la determinazione dei fondi propri, tra cui</w:t>
            </w:r>
            <w:r w:rsidRPr="000F5074">
              <w:rPr>
                <w:rFonts w:ascii="Times" w:hAnsi="Times" w:cs="Times"/>
                <w:sz w:val="20"/>
                <w:szCs w:val="20"/>
              </w:rPr>
              <w:t>:</w:t>
            </w:r>
          </w:p>
          <w:p w14:paraId="763CBCFE" w14:textId="77777777" w:rsidR="00D951DE" w:rsidRPr="000F5074" w:rsidRDefault="00D951DE" w:rsidP="00A745F9">
            <w:pPr>
              <w:spacing w:after="0" w:line="240" w:lineRule="auto"/>
              <w:jc w:val="both"/>
              <w:rPr>
                <w:rFonts w:ascii="Times" w:hAnsi="Times" w:cs="Times"/>
                <w:sz w:val="20"/>
                <w:szCs w:val="20"/>
              </w:rPr>
            </w:pPr>
          </w:p>
          <w:p w14:paraId="132B5DC1" w14:textId="77777777" w:rsidR="00D951DE" w:rsidRPr="0080402F" w:rsidRDefault="00D951DE" w:rsidP="00A745F9">
            <w:pPr>
              <w:pStyle w:val="Paragrafoelenco"/>
              <w:numPr>
                <w:ilvl w:val="0"/>
                <w:numId w:val="3"/>
              </w:numPr>
              <w:spacing w:after="0" w:line="240" w:lineRule="auto"/>
              <w:contextualSpacing w:val="0"/>
              <w:jc w:val="both"/>
              <w:rPr>
                <w:rFonts w:ascii="Times" w:hAnsi="Times" w:cs="Times"/>
                <w:lang w:val="it-IT"/>
              </w:rPr>
            </w:pPr>
            <w:r w:rsidRPr="007C5088">
              <w:rPr>
                <w:rFonts w:ascii="Times" w:hAnsi="Times" w:cs="Times"/>
                <w:lang w:val="it-IT"/>
              </w:rPr>
              <w:t>il calcolo previsionale delle tutele prudenziali del richiedente per i primi tre esercizi successivi all’autorizzazione</w:t>
            </w:r>
            <w:r w:rsidRPr="0080402F">
              <w:rPr>
                <w:rFonts w:ascii="Times" w:hAnsi="Times" w:cs="Times"/>
                <w:lang w:val="it-IT"/>
              </w:rPr>
              <w:t xml:space="preserve">; </w:t>
            </w:r>
          </w:p>
          <w:p w14:paraId="01B863CC" w14:textId="77777777" w:rsidR="00D951DE" w:rsidRDefault="00D951DE" w:rsidP="00A745F9">
            <w:pPr>
              <w:pStyle w:val="Paragrafoelenco"/>
              <w:numPr>
                <w:ilvl w:val="0"/>
                <w:numId w:val="3"/>
              </w:numPr>
              <w:spacing w:after="0" w:line="240" w:lineRule="auto"/>
              <w:contextualSpacing w:val="0"/>
              <w:jc w:val="both"/>
              <w:rPr>
                <w:rFonts w:ascii="Times" w:hAnsi="Times" w:cs="Times"/>
                <w:lang w:val="it-IT"/>
              </w:rPr>
            </w:pPr>
            <w:r w:rsidRPr="007C5088">
              <w:rPr>
                <w:rFonts w:ascii="Times" w:hAnsi="Times" w:cs="Times"/>
                <w:lang w:val="it-IT"/>
              </w:rPr>
              <w:t>ipotesi di pianificazione comprendenti scenari di stress per la previsione di cui al punto i) e spiegazioni delle cifre</w:t>
            </w:r>
            <w:r w:rsidRPr="0080402F">
              <w:rPr>
                <w:rFonts w:ascii="Times" w:hAnsi="Times" w:cs="Times"/>
                <w:lang w:val="it-IT"/>
              </w:rPr>
              <w:t>;</w:t>
            </w:r>
          </w:p>
          <w:p w14:paraId="19D942CF" w14:textId="77777777" w:rsidR="00D951DE" w:rsidRPr="00006029" w:rsidRDefault="00D951DE" w:rsidP="00A745F9">
            <w:pPr>
              <w:pStyle w:val="Paragrafoelenco"/>
              <w:numPr>
                <w:ilvl w:val="0"/>
                <w:numId w:val="3"/>
              </w:numPr>
              <w:spacing w:after="0" w:line="240" w:lineRule="auto"/>
              <w:contextualSpacing w:val="0"/>
              <w:jc w:val="both"/>
              <w:rPr>
                <w:rFonts w:ascii="Times" w:hAnsi="Times" w:cs="Times"/>
                <w:lang w:val="it-IT"/>
              </w:rPr>
            </w:pPr>
            <w:r w:rsidRPr="007C5088">
              <w:rPr>
                <w:rFonts w:ascii="Times" w:hAnsi="Times" w:cs="Times"/>
                <w:lang w:val="it-IT"/>
              </w:rPr>
              <w:t>una previsione del numero e tipo di clienti, del volume degli ordini e delle operazioni e del volume delle cripto-attività in custodia</w:t>
            </w:r>
            <w:r w:rsidRPr="00006029">
              <w:rPr>
                <w:rFonts w:ascii="Times" w:hAnsi="Times" w:cs="Times"/>
                <w:lang w:val="it-IT"/>
              </w:rPr>
              <w:t>;</w:t>
            </w:r>
          </w:p>
        </w:tc>
        <w:tc>
          <w:tcPr>
            <w:tcW w:w="7513" w:type="dxa"/>
            <w:shd w:val="clear" w:color="auto" w:fill="FFFFFF" w:themeFill="background1"/>
          </w:tcPr>
          <w:p w14:paraId="3EE4AD6F"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3F5978" w14:paraId="0FCE6600" w14:textId="77777777" w:rsidTr="00E54B34">
        <w:trPr>
          <w:trHeight w:val="624"/>
        </w:trPr>
        <w:tc>
          <w:tcPr>
            <w:tcW w:w="2726" w:type="dxa"/>
            <w:vMerge/>
            <w:shd w:val="clear" w:color="auto" w:fill="F2F2F2" w:themeFill="background1" w:themeFillShade="F2"/>
            <w:vAlign w:val="center"/>
          </w:tcPr>
          <w:p w14:paraId="1B9313A9"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465EF37" w14:textId="77777777" w:rsidR="00D951DE" w:rsidRPr="003D0CF9" w:rsidRDefault="00D951DE" w:rsidP="00A745F9">
            <w:pPr>
              <w:spacing w:after="0" w:line="240" w:lineRule="auto"/>
              <w:jc w:val="both"/>
              <w:rPr>
                <w:rFonts w:ascii="Times" w:eastAsia="Times New Roman" w:hAnsi="Times" w:cs="Times"/>
                <w:i/>
                <w:iCs/>
                <w:sz w:val="20"/>
                <w:szCs w:val="20"/>
                <w:lang w:eastAsia="en-GB"/>
              </w:rPr>
            </w:pPr>
            <w:r w:rsidRPr="00271315">
              <w:rPr>
                <w:rFonts w:ascii="Times" w:hAnsi="Times" w:cs="Times"/>
                <w:sz w:val="20"/>
                <w:szCs w:val="20"/>
              </w:rPr>
              <w:t xml:space="preserve">(c) </w:t>
            </w:r>
            <w:r w:rsidRPr="007C5088">
              <w:rPr>
                <w:rFonts w:ascii="Times" w:hAnsi="Times" w:cs="Times"/>
                <w:sz w:val="20"/>
                <w:szCs w:val="20"/>
              </w:rPr>
              <w:t>per le imprese o altre persone giuridiche che sono già in attività, se disponibili, i bilanci degli ultimi tre anni approvati, se sottoposti a revisione, da un revisore esterno</w:t>
            </w:r>
            <w:r w:rsidRPr="003D0CF9">
              <w:rPr>
                <w:rFonts w:ascii="Times" w:hAnsi="Times" w:cs="Times"/>
                <w:sz w:val="20"/>
                <w:szCs w:val="20"/>
              </w:rPr>
              <w:t xml:space="preserve">; </w:t>
            </w:r>
          </w:p>
        </w:tc>
        <w:tc>
          <w:tcPr>
            <w:tcW w:w="7513" w:type="dxa"/>
            <w:shd w:val="clear" w:color="auto" w:fill="FFFFFF" w:themeFill="background1"/>
          </w:tcPr>
          <w:p w14:paraId="0597135C" w14:textId="0D06F518"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3F5978" w14:paraId="36951435" w14:textId="77777777" w:rsidTr="00E54B34">
        <w:trPr>
          <w:trHeight w:val="624"/>
        </w:trPr>
        <w:tc>
          <w:tcPr>
            <w:tcW w:w="2726" w:type="dxa"/>
            <w:vMerge/>
            <w:shd w:val="clear" w:color="auto" w:fill="F2F2F2" w:themeFill="background1" w:themeFillShade="F2"/>
            <w:vAlign w:val="center"/>
          </w:tcPr>
          <w:p w14:paraId="7C2BBC9A"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4EF5F66" w14:textId="77777777" w:rsidR="00D951DE" w:rsidRPr="003D0CF9" w:rsidRDefault="00D951DE" w:rsidP="00A745F9">
            <w:pPr>
              <w:spacing w:after="0" w:line="240" w:lineRule="auto"/>
              <w:jc w:val="both"/>
              <w:rPr>
                <w:rFonts w:ascii="Times" w:eastAsia="Times New Roman" w:hAnsi="Times" w:cs="Times"/>
                <w:i/>
                <w:iCs/>
                <w:sz w:val="20"/>
                <w:szCs w:val="20"/>
                <w:lang w:eastAsia="en-GB"/>
              </w:rPr>
            </w:pPr>
            <w:r w:rsidRPr="003D0CF9">
              <w:rPr>
                <w:rFonts w:ascii="Times" w:hAnsi="Times" w:cs="Times"/>
                <w:sz w:val="20"/>
                <w:szCs w:val="20"/>
              </w:rPr>
              <w:t>(d) una descrizione delle politiche e delle procedure di pianificazione e monitoraggio delle garanzie prudenziali del richiedente di cui all’art. 67, paragrafo 1 del Regolamento (UE) 2023/1114;</w:t>
            </w:r>
          </w:p>
        </w:tc>
        <w:tc>
          <w:tcPr>
            <w:tcW w:w="7513" w:type="dxa"/>
            <w:shd w:val="clear" w:color="auto" w:fill="FFFFFF" w:themeFill="background1"/>
          </w:tcPr>
          <w:p w14:paraId="4B5FD5AC" w14:textId="59B387C7"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0552F995" w14:textId="77777777" w:rsidTr="00E54B34">
        <w:trPr>
          <w:trHeight w:val="624"/>
        </w:trPr>
        <w:tc>
          <w:tcPr>
            <w:tcW w:w="2726" w:type="dxa"/>
            <w:vMerge/>
            <w:shd w:val="clear" w:color="auto" w:fill="F2F2F2" w:themeFill="background1" w:themeFillShade="F2"/>
            <w:vAlign w:val="center"/>
          </w:tcPr>
          <w:p w14:paraId="1034FE3D"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C0A1A7D" w14:textId="77777777" w:rsidR="00D951DE" w:rsidRPr="005A3EFB" w:rsidRDefault="00D951DE" w:rsidP="00A745F9">
            <w:pPr>
              <w:spacing w:after="0" w:line="240" w:lineRule="auto"/>
              <w:jc w:val="both"/>
              <w:rPr>
                <w:rFonts w:ascii="Times" w:hAnsi="Times" w:cs="Times"/>
                <w:sz w:val="20"/>
                <w:szCs w:val="20"/>
              </w:rPr>
            </w:pPr>
            <w:r w:rsidRPr="005A3EFB">
              <w:rPr>
                <w:rFonts w:ascii="Times" w:hAnsi="Times" w:cs="Times"/>
                <w:sz w:val="20"/>
                <w:szCs w:val="20"/>
              </w:rPr>
              <w:t>(e)</w:t>
            </w:r>
            <w:r>
              <w:t xml:space="preserve"> </w:t>
            </w:r>
            <w:r w:rsidRPr="007C5088">
              <w:rPr>
                <w:rFonts w:ascii="Times" w:hAnsi="Times" w:cs="Times"/>
                <w:sz w:val="20"/>
                <w:szCs w:val="20"/>
              </w:rPr>
              <w:t>la prova del fatto che il richiedente soddisfa le tutele prudenziali di cui all’articolo 67 del regolamento (UE) 2023/1114, tra cui:</w:t>
            </w:r>
            <w:r w:rsidRPr="007C5088" w:rsidDel="007C5088">
              <w:rPr>
                <w:rFonts w:ascii="Times" w:hAnsi="Times" w:cs="Times"/>
                <w:sz w:val="20"/>
                <w:szCs w:val="20"/>
              </w:rPr>
              <w:t xml:space="preserve"> </w:t>
            </w:r>
          </w:p>
          <w:p w14:paraId="0AA70D52" w14:textId="77777777" w:rsidR="00D951DE" w:rsidRPr="007E620B" w:rsidRDefault="00D951DE" w:rsidP="00A745F9">
            <w:pPr>
              <w:pStyle w:val="Paragrafoelenco"/>
              <w:numPr>
                <w:ilvl w:val="0"/>
                <w:numId w:val="4"/>
              </w:numPr>
              <w:spacing w:after="0" w:line="240" w:lineRule="auto"/>
              <w:contextualSpacing w:val="0"/>
              <w:rPr>
                <w:rFonts w:ascii="Times" w:hAnsi="Times" w:cs="Times"/>
                <w:lang w:val="it-IT"/>
              </w:rPr>
            </w:pPr>
            <w:r w:rsidRPr="00D456BD">
              <w:rPr>
                <w:rFonts w:ascii="Times" w:hAnsi="Times" w:cs="Times"/>
                <w:lang w:val="it-IT"/>
              </w:rPr>
              <w:t>in relazione ai fondi propri</w:t>
            </w:r>
            <w:r>
              <w:rPr>
                <w:rFonts w:ascii="Times" w:hAnsi="Times" w:cs="Times"/>
                <w:lang w:val="it-IT"/>
              </w:rPr>
              <w:t xml:space="preserve"> </w:t>
            </w:r>
            <w:r w:rsidRPr="00CE42D9">
              <w:rPr>
                <w:rFonts w:ascii="Times" w:hAnsi="Times" w:cs="Times"/>
                <w:lang w:val="it-IT"/>
              </w:rPr>
              <w:t>di cui all’articolo 67, paragrafo 4, lettera a), del regolamento (UE) 2023/1114</w:t>
            </w:r>
            <w:r w:rsidRPr="007E620B">
              <w:rPr>
                <w:rFonts w:ascii="Times" w:hAnsi="Times" w:cs="Times"/>
                <w:lang w:val="it-IT"/>
              </w:rPr>
              <w:t>:</w:t>
            </w:r>
          </w:p>
          <w:p w14:paraId="45B6C972" w14:textId="77777777" w:rsidR="00D951DE" w:rsidRPr="005A3EFB" w:rsidRDefault="00D951DE" w:rsidP="00A745F9">
            <w:pPr>
              <w:pStyle w:val="Paragrafoelenco"/>
              <w:numPr>
                <w:ilvl w:val="0"/>
                <w:numId w:val="2"/>
              </w:numPr>
              <w:spacing w:after="0" w:line="240" w:lineRule="auto"/>
              <w:contextualSpacing w:val="0"/>
              <w:rPr>
                <w:rFonts w:ascii="Times" w:hAnsi="Times" w:cs="Times"/>
                <w:lang w:val="it-IT"/>
              </w:rPr>
            </w:pPr>
            <w:r w:rsidRPr="007C5088">
              <w:rPr>
                <w:rFonts w:ascii="Times" w:hAnsi="Times" w:cs="Times"/>
                <w:lang w:val="it-IT"/>
              </w:rPr>
              <w:t>la documentazione che specifica in che modo il richiedente ha calcolato l’importo delle tutele prudenziali conformemente all’articolo 67 del regolamento (UE) 2023/1114</w:t>
            </w:r>
            <w:r w:rsidRPr="005A3EFB">
              <w:rPr>
                <w:rFonts w:ascii="Times" w:hAnsi="Times" w:cs="Times"/>
                <w:lang w:val="it-IT"/>
              </w:rPr>
              <w:t>;</w:t>
            </w:r>
          </w:p>
          <w:p w14:paraId="105AFF45" w14:textId="77777777" w:rsidR="00D951DE" w:rsidRPr="005A3EFB" w:rsidRDefault="00D951DE" w:rsidP="00A745F9">
            <w:pPr>
              <w:pStyle w:val="Paragrafoelenco"/>
              <w:numPr>
                <w:ilvl w:val="0"/>
                <w:numId w:val="2"/>
              </w:numPr>
              <w:spacing w:after="0" w:line="240" w:lineRule="auto"/>
              <w:contextualSpacing w:val="0"/>
              <w:rPr>
                <w:rFonts w:ascii="Times" w:hAnsi="Times" w:cs="Times"/>
                <w:lang w:val="it-IT"/>
              </w:rPr>
            </w:pPr>
            <w:r w:rsidRPr="007C5088">
              <w:rPr>
                <w:rFonts w:ascii="Times" w:hAnsi="Times" w:cs="Times"/>
                <w:lang w:val="it-IT"/>
              </w:rPr>
              <w:t>per le imprese o altre persone giuridiche che sono già in attività e i cui bilanci non sono sottoposti a revisione, una certificazione da parte dell’autorità nazionale di vigilanza dell’importo dei fondi propri del richiedente</w:t>
            </w:r>
            <w:r>
              <w:rPr>
                <w:rFonts w:ascii="Times" w:hAnsi="Times" w:cs="Times"/>
                <w:lang w:val="it-IT"/>
              </w:rPr>
              <w:t>;</w:t>
            </w:r>
            <w:r w:rsidRPr="005A3EFB">
              <w:rPr>
                <w:rFonts w:ascii="Times" w:hAnsi="Times" w:cs="Times"/>
                <w:lang w:val="it-IT"/>
              </w:rPr>
              <w:t xml:space="preserve"> </w:t>
            </w:r>
          </w:p>
          <w:p w14:paraId="0DFFC047" w14:textId="77777777" w:rsidR="00D951DE" w:rsidRPr="005A3EFB" w:rsidRDefault="00D951DE" w:rsidP="00A745F9">
            <w:pPr>
              <w:pStyle w:val="Paragrafoelenco"/>
              <w:numPr>
                <w:ilvl w:val="0"/>
                <w:numId w:val="2"/>
              </w:numPr>
              <w:spacing w:after="0" w:line="240" w:lineRule="auto"/>
              <w:contextualSpacing w:val="0"/>
              <w:rPr>
                <w:rFonts w:ascii="Times" w:hAnsi="Times" w:cs="Times"/>
                <w:lang w:val="it-IT"/>
              </w:rPr>
            </w:pPr>
            <w:r w:rsidRPr="002F2D22">
              <w:rPr>
                <w:rFonts w:ascii="Times" w:hAnsi="Times" w:cs="Times"/>
                <w:lang w:val="it-IT"/>
              </w:rPr>
              <w:t>per le imprese che sono in fase di costituzione, la dichiarazione di un ente creditizio che attesti che i fondi sono depositati sul conto del richiedente</w:t>
            </w:r>
            <w:r w:rsidRPr="005A3EFB">
              <w:rPr>
                <w:rFonts w:ascii="Times" w:hAnsi="Times" w:cs="Times"/>
                <w:lang w:val="it-IT"/>
              </w:rPr>
              <w:t>;</w:t>
            </w:r>
          </w:p>
          <w:p w14:paraId="27801ED7" w14:textId="77777777" w:rsidR="00D951DE" w:rsidRPr="005A3EFB" w:rsidRDefault="00D951DE" w:rsidP="00A745F9">
            <w:pPr>
              <w:pStyle w:val="Paragrafoelenco"/>
              <w:spacing w:after="0" w:line="240" w:lineRule="auto"/>
              <w:contextualSpacing w:val="0"/>
              <w:rPr>
                <w:rFonts w:ascii="Times" w:hAnsi="Times" w:cs="Times"/>
                <w:lang w:val="it-IT"/>
              </w:rPr>
            </w:pPr>
          </w:p>
          <w:p w14:paraId="792BD6AC" w14:textId="77777777" w:rsidR="00D951DE" w:rsidRPr="00D456BD" w:rsidRDefault="00D951DE" w:rsidP="00A745F9">
            <w:pPr>
              <w:pStyle w:val="Paragrafoelenco"/>
              <w:numPr>
                <w:ilvl w:val="0"/>
                <w:numId w:val="4"/>
              </w:numPr>
              <w:spacing w:after="0" w:line="240" w:lineRule="auto"/>
              <w:contextualSpacing w:val="0"/>
              <w:rPr>
                <w:rFonts w:ascii="Times" w:hAnsi="Times" w:cs="Times"/>
                <w:lang w:val="it-IT"/>
              </w:rPr>
            </w:pPr>
            <w:r w:rsidRPr="002F2D22">
              <w:rPr>
                <w:rFonts w:ascii="Times" w:hAnsi="Times" w:cs="Times"/>
                <w:lang w:val="it-IT"/>
              </w:rPr>
              <w:t>in relazione alla polizza assicurativa o garanzia analoga di cui all’articolo 67, paragrafo 4, lettera b), del regolamento (UE) 2023/1114</w:t>
            </w:r>
            <w:r w:rsidRPr="00D456BD">
              <w:rPr>
                <w:rFonts w:ascii="Times" w:hAnsi="Times" w:cs="Times"/>
                <w:lang w:val="it-IT"/>
              </w:rPr>
              <w:t xml:space="preserve">: </w:t>
            </w:r>
          </w:p>
          <w:p w14:paraId="21D78A02" w14:textId="77777777" w:rsidR="00D951DE" w:rsidRPr="005A3EFB" w:rsidRDefault="00D951DE" w:rsidP="00A745F9">
            <w:pPr>
              <w:pStyle w:val="Paragrafoelenco"/>
              <w:numPr>
                <w:ilvl w:val="1"/>
                <w:numId w:val="5"/>
              </w:numPr>
              <w:spacing w:after="0" w:line="240" w:lineRule="auto"/>
              <w:contextualSpacing w:val="0"/>
              <w:rPr>
                <w:rFonts w:ascii="Times" w:hAnsi="Times" w:cs="Times"/>
                <w:lang w:val="it-IT"/>
              </w:rPr>
            </w:pPr>
            <w:r w:rsidRPr="002F2D22">
              <w:rPr>
                <w:rFonts w:ascii="Times" w:hAnsi="Times" w:cs="Times"/>
                <w:lang w:val="it-IT"/>
              </w:rPr>
              <w:t>la denominazione legale, la data e lo Stato membro di costituzione o fondazione, l’indirizzo della sede centrale e, se differente, della sede legale e i recapiti dell’impresa autorizzata a fornire la polizza assicurativa o una garanzia analoga</w:t>
            </w:r>
            <w:r>
              <w:rPr>
                <w:rFonts w:ascii="Times" w:hAnsi="Times" w:cs="Times"/>
                <w:lang w:val="it-IT"/>
              </w:rPr>
              <w:t>;</w:t>
            </w:r>
            <w:r w:rsidRPr="002F2D22" w:rsidDel="002F2D22">
              <w:rPr>
                <w:rFonts w:ascii="Times" w:hAnsi="Times" w:cs="Times"/>
                <w:lang w:val="it-IT"/>
              </w:rPr>
              <w:t xml:space="preserve"> </w:t>
            </w:r>
            <w:r w:rsidRPr="005A3EFB">
              <w:rPr>
                <w:rFonts w:ascii="Times" w:hAnsi="Times" w:cs="Times"/>
                <w:lang w:val="it-IT"/>
              </w:rPr>
              <w:t xml:space="preserve"> </w:t>
            </w:r>
          </w:p>
          <w:p w14:paraId="64D63C93" w14:textId="77777777" w:rsidR="00D951DE" w:rsidRDefault="00D951DE" w:rsidP="00A745F9">
            <w:pPr>
              <w:pStyle w:val="Paragrafoelenco"/>
              <w:numPr>
                <w:ilvl w:val="1"/>
                <w:numId w:val="5"/>
              </w:numPr>
              <w:spacing w:after="0" w:line="240" w:lineRule="auto"/>
              <w:contextualSpacing w:val="0"/>
              <w:jc w:val="both"/>
              <w:rPr>
                <w:rFonts w:ascii="Times" w:hAnsi="Times" w:cs="Times"/>
                <w:lang w:val="it-IT"/>
              </w:rPr>
            </w:pPr>
            <w:r w:rsidRPr="005A3EFB">
              <w:rPr>
                <w:rFonts w:ascii="Times" w:hAnsi="Times" w:cs="Times"/>
                <w:lang w:val="it-IT"/>
              </w:rPr>
              <w:t xml:space="preserve">una </w:t>
            </w:r>
            <w:r w:rsidRPr="002F2D22">
              <w:rPr>
                <w:rFonts w:ascii="Times" w:hAnsi="Times" w:cs="Times"/>
                <w:lang w:val="it-IT"/>
              </w:rPr>
              <w:t>copia di uno dei documenti seguenti</w:t>
            </w:r>
            <w:r>
              <w:rPr>
                <w:rFonts w:ascii="Times" w:hAnsi="Times" w:cs="Times"/>
                <w:lang w:val="it-IT"/>
              </w:rPr>
              <w:t>:</w:t>
            </w:r>
            <w:r w:rsidRPr="005A3EFB">
              <w:rPr>
                <w:rFonts w:ascii="Times" w:hAnsi="Times" w:cs="Times"/>
                <w:lang w:val="it-IT"/>
              </w:rPr>
              <w:t xml:space="preserve"> </w:t>
            </w:r>
          </w:p>
          <w:p w14:paraId="09DEC90B" w14:textId="77777777" w:rsidR="00D951DE" w:rsidRDefault="00D951DE" w:rsidP="00A745F9">
            <w:pPr>
              <w:pStyle w:val="Paragrafoelenco"/>
              <w:numPr>
                <w:ilvl w:val="2"/>
                <w:numId w:val="5"/>
              </w:numPr>
              <w:spacing w:after="0" w:line="240" w:lineRule="auto"/>
              <w:ind w:left="1215"/>
              <w:contextualSpacing w:val="0"/>
              <w:jc w:val="both"/>
              <w:rPr>
                <w:rFonts w:ascii="Times" w:hAnsi="Times" w:cs="Times"/>
                <w:lang w:val="it-IT"/>
              </w:rPr>
            </w:pPr>
            <w:r w:rsidRPr="002F2D22">
              <w:rPr>
                <w:rFonts w:ascii="Times" w:hAnsi="Times" w:cs="Times"/>
                <w:lang w:val="it-IT"/>
              </w:rPr>
              <w:t xml:space="preserve">la polizza assicurativa stipulata, contenente tutti gli elementi necessari </w:t>
            </w:r>
            <w:r w:rsidRPr="002F2D22">
              <w:rPr>
                <w:rFonts w:ascii="Times" w:hAnsi="Times" w:cs="Times"/>
                <w:lang w:val="it-IT"/>
              </w:rPr>
              <w:lastRenderedPageBreak/>
              <w:t>per ottemperare all’articolo 67, paragrafi 5 e 6, del regolamento (UE) 2023/1114, ove disponibile</w:t>
            </w:r>
            <w:r>
              <w:rPr>
                <w:rFonts w:ascii="Times" w:hAnsi="Times" w:cs="Times"/>
                <w:lang w:val="it-IT"/>
              </w:rPr>
              <w:t xml:space="preserve">; </w:t>
            </w:r>
          </w:p>
          <w:p w14:paraId="42D36537" w14:textId="77777777" w:rsidR="00D951DE" w:rsidRPr="00D456BD" w:rsidRDefault="00D951DE" w:rsidP="00A745F9">
            <w:pPr>
              <w:pStyle w:val="Paragrafoelenco"/>
              <w:numPr>
                <w:ilvl w:val="2"/>
                <w:numId w:val="5"/>
              </w:numPr>
              <w:spacing w:after="0" w:line="240" w:lineRule="auto"/>
              <w:ind w:left="1215"/>
              <w:contextualSpacing w:val="0"/>
              <w:jc w:val="both"/>
              <w:rPr>
                <w:rFonts w:ascii="Times" w:hAnsi="Times" w:cs="Times"/>
                <w:lang w:val="it-IT"/>
              </w:rPr>
            </w:pPr>
            <w:r w:rsidRPr="002F2D22">
              <w:rPr>
                <w:rFonts w:ascii="Times" w:hAnsi="Times" w:cs="Times"/>
                <w:lang w:val="it-IT"/>
              </w:rPr>
              <w:t>il contratto assicurativo, contenente tutti gli elementi necessari per ottemperare all’articolo 67, paragrafi 5 e 6, del regolamento (UE) 2023/1114, sottoscritto da un’impresa autorizzata a fornire un’assicurazione in conformità del diritto dell’Unione o nazionale;</w:t>
            </w:r>
          </w:p>
        </w:tc>
        <w:tc>
          <w:tcPr>
            <w:tcW w:w="7513" w:type="dxa"/>
            <w:shd w:val="clear" w:color="auto" w:fill="FFFFFF" w:themeFill="background1"/>
          </w:tcPr>
          <w:p w14:paraId="11F1D3B1" w14:textId="77777777"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07C4594E" w14:textId="77777777" w:rsidTr="00111686">
        <w:trPr>
          <w:trHeight w:val="624"/>
        </w:trPr>
        <w:tc>
          <w:tcPr>
            <w:tcW w:w="2726" w:type="dxa"/>
            <w:shd w:val="clear" w:color="auto" w:fill="DEEAF6" w:themeFill="accent1" w:themeFillTint="33"/>
            <w:vAlign w:val="center"/>
          </w:tcPr>
          <w:p w14:paraId="5B3D7928" w14:textId="77777777" w:rsidR="00D951DE" w:rsidRPr="008B23C0" w:rsidRDefault="00D951DE" w:rsidP="00A745F9">
            <w:pPr>
              <w:spacing w:after="0" w:line="240" w:lineRule="auto"/>
              <w:jc w:val="both"/>
              <w:rPr>
                <w:rFonts w:ascii="Times" w:hAnsi="Times" w:cs="Times"/>
                <w:b/>
                <w:bCs/>
                <w:sz w:val="20"/>
                <w:szCs w:val="20"/>
              </w:rPr>
            </w:pPr>
            <w:r w:rsidRPr="00FC0CF7">
              <w:rPr>
                <w:rFonts w:ascii="Times" w:hAnsi="Times" w:cs="Times"/>
                <w:b/>
                <w:bCs/>
                <w:sz w:val="20"/>
                <w:szCs w:val="20"/>
              </w:rPr>
              <w:lastRenderedPageBreak/>
              <w:t>Integrazioni necessarie in caso di istanza come PSP</w:t>
            </w:r>
          </w:p>
        </w:tc>
        <w:tc>
          <w:tcPr>
            <w:tcW w:w="4640" w:type="dxa"/>
            <w:shd w:val="clear" w:color="auto" w:fill="DEEAF6" w:themeFill="accent1" w:themeFillTint="33"/>
          </w:tcPr>
          <w:p w14:paraId="605DDDEE" w14:textId="77777777" w:rsidR="00D951DE" w:rsidRPr="005A3EFB" w:rsidRDefault="00D951DE" w:rsidP="00A745F9">
            <w:pPr>
              <w:spacing w:after="0" w:line="240" w:lineRule="auto"/>
              <w:jc w:val="both"/>
              <w:rPr>
                <w:rFonts w:ascii="Times" w:hAnsi="Times" w:cs="Times"/>
                <w:sz w:val="20"/>
                <w:szCs w:val="20"/>
              </w:rPr>
            </w:pPr>
            <w:r w:rsidRPr="007D69CB">
              <w:rPr>
                <w:rFonts w:ascii="Times" w:eastAsia="Times New Roman" w:hAnsi="Times" w:cs="Times"/>
                <w:iCs/>
                <w:sz w:val="20"/>
                <w:szCs w:val="20"/>
              </w:rPr>
              <w:t xml:space="preserve">I CASP </w:t>
            </w:r>
            <w:r>
              <w:rPr>
                <w:rFonts w:ascii="Times" w:eastAsia="Times New Roman" w:hAnsi="Times" w:cs="Times"/>
                <w:iCs/>
                <w:sz w:val="20"/>
                <w:szCs w:val="20"/>
              </w:rPr>
              <w:t>che intendono richiedere autorizzazione anche come PSP</w:t>
            </w:r>
            <w:r w:rsidRPr="007D69CB">
              <w:rPr>
                <w:rFonts w:ascii="Times" w:eastAsia="Times New Roman" w:hAnsi="Times" w:cs="Times"/>
                <w:iCs/>
                <w:sz w:val="20"/>
                <w:szCs w:val="20"/>
              </w:rPr>
              <w:t xml:space="preserve"> </w:t>
            </w:r>
            <w:r w:rsidRPr="000C2C14">
              <w:rPr>
                <w:rFonts w:ascii="Times" w:hAnsi="Times" w:cs="Times"/>
                <w:sz w:val="20"/>
                <w:szCs w:val="20"/>
              </w:rPr>
              <w:t xml:space="preserve">applicano requisiti prudenziali calcolati con un approccio cumulativo; l’istituto dovrà quindi rispettare sia requisiti </w:t>
            </w:r>
            <w:proofErr w:type="spellStart"/>
            <w:r w:rsidRPr="000C2C14">
              <w:rPr>
                <w:rFonts w:ascii="Times" w:hAnsi="Times" w:cs="Times"/>
                <w:sz w:val="20"/>
                <w:szCs w:val="20"/>
              </w:rPr>
              <w:t>MiCAR</w:t>
            </w:r>
            <w:proofErr w:type="spellEnd"/>
            <w:r w:rsidRPr="000C2C14">
              <w:rPr>
                <w:rFonts w:ascii="Times" w:hAnsi="Times" w:cs="Times"/>
                <w:sz w:val="20"/>
                <w:szCs w:val="20"/>
              </w:rPr>
              <w:t xml:space="preserve"> sia requisiti PSD2. </w:t>
            </w:r>
          </w:p>
        </w:tc>
        <w:tc>
          <w:tcPr>
            <w:tcW w:w="7513" w:type="dxa"/>
            <w:shd w:val="clear" w:color="auto" w:fill="DEEAF6" w:themeFill="accent1" w:themeFillTint="33"/>
          </w:tcPr>
          <w:p w14:paraId="0C17CA9B" w14:textId="13FFD1A7"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0F5074" w14:paraId="06C41ECF" w14:textId="77777777" w:rsidTr="00A745F9">
        <w:trPr>
          <w:trHeight w:val="482"/>
        </w:trPr>
        <w:tc>
          <w:tcPr>
            <w:tcW w:w="14879" w:type="dxa"/>
            <w:gridSpan w:val="3"/>
            <w:shd w:val="clear" w:color="auto" w:fill="2E74B5" w:themeFill="accent1" w:themeFillShade="BF"/>
            <w:vAlign w:val="center"/>
          </w:tcPr>
          <w:p w14:paraId="12A2B345" w14:textId="77777777" w:rsidR="00D951DE" w:rsidRPr="00D60834" w:rsidRDefault="00D951DE" w:rsidP="00A745F9">
            <w:pPr>
              <w:pStyle w:val="Paragrafoelenco"/>
              <w:numPr>
                <w:ilvl w:val="0"/>
                <w:numId w:val="30"/>
              </w:numPr>
              <w:spacing w:after="0" w:line="240" w:lineRule="auto"/>
              <w:jc w:val="both"/>
              <w:rPr>
                <w:rFonts w:ascii="Times" w:eastAsia="Times New Roman" w:hAnsi="Times" w:cs="Times"/>
                <w:b/>
                <w:bCs/>
                <w:color w:val="FFFFFF" w:themeColor="background1"/>
                <w:lang w:val="it-IT"/>
              </w:rPr>
            </w:pPr>
            <w:r w:rsidRPr="00D456BD">
              <w:rPr>
                <w:rFonts w:ascii="Times" w:eastAsia="Times New Roman" w:hAnsi="Times" w:cs="Times"/>
                <w:b/>
                <w:bCs/>
                <w:color w:val="FFFFFF" w:themeColor="background1"/>
                <w:lang w:val="it-IT"/>
              </w:rPr>
              <w:t xml:space="preserve">INFORMAZIONI </w:t>
            </w:r>
            <w:r>
              <w:rPr>
                <w:rFonts w:ascii="Times" w:eastAsia="Times New Roman" w:hAnsi="Times" w:cs="Times"/>
                <w:b/>
                <w:bCs/>
                <w:color w:val="FFFFFF" w:themeColor="background1"/>
                <w:lang w:val="it-IT"/>
              </w:rPr>
              <w:t>SUI DISPOSITIVI DI GOVERNANCE</w:t>
            </w:r>
            <w:r w:rsidRPr="00D456BD">
              <w:rPr>
                <w:rFonts w:ascii="Times" w:eastAsia="Times New Roman" w:hAnsi="Times" w:cs="Times"/>
                <w:b/>
                <w:bCs/>
                <w:color w:val="FFFFFF" w:themeColor="background1"/>
                <w:lang w:val="it-IT"/>
              </w:rPr>
              <w:t xml:space="preserve"> E MECCANISMI DI CONTROLLO INTERNO</w:t>
            </w:r>
            <w:r>
              <w:rPr>
                <w:rFonts w:ascii="Times" w:eastAsia="Times New Roman" w:hAnsi="Times" w:cs="Times"/>
                <w:b/>
                <w:bCs/>
                <w:color w:val="FFFFFF" w:themeColor="background1"/>
                <w:lang w:val="it-IT"/>
              </w:rPr>
              <w:t xml:space="preserve"> E SUI CONFLITTI DI INTERESSE</w:t>
            </w:r>
          </w:p>
        </w:tc>
      </w:tr>
      <w:tr w:rsidR="00D951DE" w:rsidRPr="003F5978" w14:paraId="731E28A8" w14:textId="77777777" w:rsidTr="00A745F9">
        <w:trPr>
          <w:trHeight w:val="340"/>
        </w:trPr>
        <w:tc>
          <w:tcPr>
            <w:tcW w:w="14879" w:type="dxa"/>
            <w:gridSpan w:val="3"/>
            <w:shd w:val="clear" w:color="auto" w:fill="8496B0" w:themeFill="text2" w:themeFillTint="99"/>
            <w:vAlign w:val="center"/>
          </w:tcPr>
          <w:p w14:paraId="2CDE9C47" w14:textId="77777777" w:rsidR="00D951DE" w:rsidRPr="00D60834" w:rsidRDefault="00D951DE" w:rsidP="00A745F9">
            <w:pPr>
              <w:pStyle w:val="Paragrafoelenco"/>
              <w:numPr>
                <w:ilvl w:val="1"/>
                <w:numId w:val="30"/>
              </w:numPr>
              <w:spacing w:after="0" w:line="240" w:lineRule="auto"/>
              <w:jc w:val="both"/>
              <w:rPr>
                <w:rFonts w:ascii="Times" w:eastAsia="Times New Roman" w:hAnsi="Times" w:cs="Times"/>
                <w:b/>
                <w:bCs/>
                <w:iCs/>
                <w:color w:val="FFFFFF" w:themeColor="background1"/>
                <w:lang w:val="it-IT"/>
              </w:rPr>
            </w:pPr>
            <w:r w:rsidRPr="00D60834">
              <w:rPr>
                <w:rFonts w:ascii="Times" w:eastAsia="Times New Roman" w:hAnsi="Times" w:cs="Times"/>
                <w:b/>
                <w:bCs/>
                <w:iCs/>
                <w:color w:val="FFFFFF" w:themeColor="background1"/>
                <w:lang w:val="it-IT"/>
              </w:rPr>
              <w:t>Informazioni sulla governance e sui meccanismi di controllo interno</w:t>
            </w:r>
          </w:p>
        </w:tc>
      </w:tr>
      <w:tr w:rsidR="00D951DE" w:rsidRPr="003F5978" w14:paraId="63F368FF" w14:textId="77777777" w:rsidTr="00111686">
        <w:trPr>
          <w:trHeight w:val="624"/>
        </w:trPr>
        <w:tc>
          <w:tcPr>
            <w:tcW w:w="7366" w:type="dxa"/>
            <w:gridSpan w:val="2"/>
            <w:shd w:val="clear" w:color="auto" w:fill="F2F2F2" w:themeFill="background1" w:themeFillShade="F2"/>
            <w:vAlign w:val="center"/>
          </w:tcPr>
          <w:p w14:paraId="670A9F34" w14:textId="77777777" w:rsidR="00D951DE" w:rsidRPr="008B23C0" w:rsidRDefault="00D951DE" w:rsidP="00A745F9">
            <w:pPr>
              <w:spacing w:after="0" w:line="240" w:lineRule="auto"/>
              <w:jc w:val="both"/>
              <w:rPr>
                <w:rFonts w:ascii="Times" w:eastAsia="Times New Roman" w:hAnsi="Times" w:cs="Times"/>
                <w:i/>
                <w:iCs/>
                <w:sz w:val="20"/>
                <w:szCs w:val="20"/>
                <w:lang w:eastAsia="en-GB"/>
              </w:rPr>
            </w:pPr>
            <w:r w:rsidRPr="00272F41">
              <w:rPr>
                <w:rFonts w:ascii="Times" w:hAnsi="Times" w:cs="Times"/>
                <w:sz w:val="20"/>
                <w:szCs w:val="20"/>
              </w:rPr>
              <w:t xml:space="preserve">Ai </w:t>
            </w:r>
            <w:r>
              <w:rPr>
                <w:rFonts w:ascii="Times" w:hAnsi="Times" w:cs="Times"/>
                <w:sz w:val="20"/>
                <w:szCs w:val="20"/>
              </w:rPr>
              <w:t>sensi</w:t>
            </w:r>
            <w:r w:rsidRPr="00272F41">
              <w:rPr>
                <w:rFonts w:ascii="Times" w:hAnsi="Times" w:cs="Times"/>
                <w:sz w:val="20"/>
                <w:szCs w:val="20"/>
              </w:rPr>
              <w:t xml:space="preserve"> dell’articolo 62, paragrafo 2, lettere f) e i), del regolamento (UE) 2023/1114</w:t>
            </w:r>
            <w:r>
              <w:rPr>
                <w:rFonts w:ascii="Times" w:hAnsi="Times" w:cs="Times"/>
                <w:sz w:val="20"/>
                <w:szCs w:val="20"/>
              </w:rPr>
              <w:t xml:space="preserve"> e dell’articolo 4, paragrafo 1, del regolamento delegato (UE) della Commissione 2025/305, </w:t>
            </w:r>
            <w:r w:rsidRPr="00272F41">
              <w:rPr>
                <w:rFonts w:ascii="Times" w:hAnsi="Times" w:cs="Times"/>
                <w:sz w:val="20"/>
                <w:szCs w:val="20"/>
              </w:rPr>
              <w:t>i richiedenti forniscono all’autorità competente le informazioni seguenti sui loro dispositivi di governance e meccanismi di controllo interno</w:t>
            </w:r>
            <w:r w:rsidRPr="008D0212">
              <w:rPr>
                <w:rFonts w:ascii="Times" w:eastAsia="Times New Roman" w:hAnsi="Times" w:cs="Times"/>
                <w:sz w:val="20"/>
                <w:szCs w:val="20"/>
                <w:lang w:eastAsia="en-GB"/>
              </w:rPr>
              <w:t>:</w:t>
            </w:r>
          </w:p>
        </w:tc>
        <w:tc>
          <w:tcPr>
            <w:tcW w:w="7513" w:type="dxa"/>
            <w:shd w:val="clear" w:color="auto" w:fill="F2F2F2" w:themeFill="background1" w:themeFillShade="F2"/>
            <w:vAlign w:val="center"/>
          </w:tcPr>
          <w:p w14:paraId="1D8A7691" w14:textId="77777777" w:rsidR="00D951DE" w:rsidRPr="00E313C3" w:rsidRDefault="00D951DE" w:rsidP="00A745F9">
            <w:pPr>
              <w:spacing w:after="0" w:line="240" w:lineRule="auto"/>
              <w:jc w:val="both"/>
              <w:rPr>
                <w:rFonts w:ascii="Times" w:eastAsia="Times New Roman" w:hAnsi="Times" w:cs="Times"/>
                <w:i/>
                <w:iC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4.1, suddividendole in paragrafi.</w:t>
            </w:r>
          </w:p>
        </w:tc>
      </w:tr>
      <w:tr w:rsidR="00D951DE" w:rsidRPr="003F5978" w14:paraId="56788500" w14:textId="77777777" w:rsidTr="00E54B34">
        <w:trPr>
          <w:trHeight w:val="624"/>
        </w:trPr>
        <w:tc>
          <w:tcPr>
            <w:tcW w:w="2726" w:type="dxa"/>
            <w:vMerge w:val="restart"/>
            <w:shd w:val="clear" w:color="auto" w:fill="F2F2F2" w:themeFill="background1" w:themeFillShade="F2"/>
            <w:vAlign w:val="center"/>
          </w:tcPr>
          <w:p w14:paraId="0C0FF40E" w14:textId="77777777" w:rsidR="00D951DE" w:rsidRPr="009153B3" w:rsidRDefault="00D951DE" w:rsidP="00A745F9">
            <w:pPr>
              <w:spacing w:after="0" w:line="240" w:lineRule="auto"/>
              <w:rPr>
                <w:rFonts w:ascii="Times" w:hAnsi="Times" w:cs="Times"/>
                <w:b/>
                <w:bCs/>
                <w:sz w:val="20"/>
                <w:szCs w:val="20"/>
              </w:rPr>
            </w:pPr>
            <w:r w:rsidRPr="009153B3">
              <w:rPr>
                <w:rFonts w:ascii="Times" w:hAnsi="Times" w:cs="Times"/>
                <w:b/>
                <w:bCs/>
                <w:sz w:val="20"/>
                <w:szCs w:val="20"/>
              </w:rPr>
              <w:t>Struttura organizzativa del prestatore; politiche e procedure interne per la gestione dei rischi</w:t>
            </w:r>
          </w:p>
          <w:p w14:paraId="5B126266" w14:textId="77777777" w:rsidR="00D951DE" w:rsidRPr="009153B3" w:rsidRDefault="00D951DE" w:rsidP="00A745F9">
            <w:pPr>
              <w:spacing w:after="0" w:line="240" w:lineRule="auto"/>
              <w:rPr>
                <w:rFonts w:ascii="Times" w:hAnsi="Times" w:cs="Times"/>
                <w:b/>
                <w:bCs/>
                <w:caps/>
                <w:sz w:val="20"/>
                <w:szCs w:val="20"/>
              </w:rPr>
            </w:pPr>
          </w:p>
          <w:p w14:paraId="6B55CE6D" w14:textId="77777777" w:rsidR="00D951DE" w:rsidRPr="009153B3" w:rsidRDefault="00D951DE" w:rsidP="00A745F9">
            <w:pPr>
              <w:spacing w:after="0" w:line="240" w:lineRule="auto"/>
              <w:jc w:val="both"/>
              <w:rPr>
                <w:rFonts w:ascii="Times" w:hAnsi="Times" w:cs="Times"/>
                <w:b/>
                <w:bCs/>
                <w:caps/>
                <w:sz w:val="20"/>
                <w:szCs w:val="20"/>
              </w:rPr>
            </w:pPr>
          </w:p>
        </w:tc>
        <w:tc>
          <w:tcPr>
            <w:tcW w:w="4640" w:type="dxa"/>
            <w:shd w:val="clear" w:color="auto" w:fill="F2F2F2" w:themeFill="background1" w:themeFillShade="F2"/>
          </w:tcPr>
          <w:p w14:paraId="55DD109A" w14:textId="77777777" w:rsidR="00D951DE" w:rsidRPr="009153B3" w:rsidRDefault="00D951DE" w:rsidP="00A745F9">
            <w:pPr>
              <w:spacing w:after="0" w:line="240" w:lineRule="auto"/>
              <w:jc w:val="both"/>
              <w:rPr>
                <w:rFonts w:ascii="Times" w:eastAsia="Times New Roman" w:hAnsi="Times" w:cs="Times"/>
                <w:i/>
                <w:iCs/>
                <w:sz w:val="20"/>
                <w:szCs w:val="20"/>
                <w:lang w:eastAsia="en-GB"/>
              </w:rPr>
            </w:pPr>
            <w:r w:rsidRPr="00471A6C">
              <w:rPr>
                <w:rFonts w:ascii="Times" w:eastAsia="Times New Roman" w:hAnsi="Times" w:cs="Times"/>
                <w:iCs/>
                <w:sz w:val="20"/>
                <w:szCs w:val="20"/>
              </w:rPr>
              <w:t xml:space="preserve">(a) </w:t>
            </w:r>
            <w:r>
              <w:t xml:space="preserve"> </w:t>
            </w:r>
            <w:r w:rsidRPr="002F2D22">
              <w:rPr>
                <w:rFonts w:ascii="Times" w:eastAsia="Times New Roman" w:hAnsi="Times" w:cs="Times"/>
                <w:iCs/>
                <w:sz w:val="20"/>
                <w:szCs w:val="20"/>
              </w:rPr>
              <w:t>una descrizione dettagliata della struttura organizzativa del richiedente, se del caso comprensiva del gruppo, compresa l’indicazione della ripartizione dei compiti e dei poteri, delle pertinenti linee di segnalazione e dei dispositivi di controllo interno attuati, unitamente a un organigramma</w:t>
            </w:r>
            <w:r w:rsidRPr="00471A6C">
              <w:rPr>
                <w:rFonts w:ascii="Times" w:eastAsia="Times New Roman" w:hAnsi="Times" w:cs="Times"/>
                <w:iCs/>
                <w:sz w:val="20"/>
                <w:szCs w:val="20"/>
              </w:rPr>
              <w:t>;</w:t>
            </w:r>
            <w:r w:rsidRPr="009153B3">
              <w:rPr>
                <w:rFonts w:ascii="Times" w:eastAsia="Times New Roman" w:hAnsi="Times" w:cs="Times"/>
                <w:iCs/>
                <w:sz w:val="20"/>
                <w:szCs w:val="20"/>
              </w:rPr>
              <w:t xml:space="preserve"> </w:t>
            </w:r>
          </w:p>
        </w:tc>
        <w:tc>
          <w:tcPr>
            <w:tcW w:w="7513" w:type="dxa"/>
            <w:shd w:val="clear" w:color="auto" w:fill="FFFFFF" w:themeFill="background1"/>
          </w:tcPr>
          <w:p w14:paraId="5AED2385" w14:textId="4D9835DA"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71DED548" w14:textId="77777777" w:rsidTr="00E54B34">
        <w:trPr>
          <w:trHeight w:val="624"/>
        </w:trPr>
        <w:tc>
          <w:tcPr>
            <w:tcW w:w="2726" w:type="dxa"/>
            <w:vMerge/>
            <w:shd w:val="clear" w:color="auto" w:fill="F2F2F2" w:themeFill="background1" w:themeFillShade="F2"/>
            <w:vAlign w:val="center"/>
          </w:tcPr>
          <w:p w14:paraId="6893291D" w14:textId="77777777" w:rsidR="00D951DE" w:rsidRPr="00D456BD"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09D2EC0" w14:textId="77777777" w:rsidR="00D951DE" w:rsidRPr="008B23C0" w:rsidRDefault="00D951DE" w:rsidP="00A745F9">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rPr>
              <w:t xml:space="preserve">(b) </w:t>
            </w:r>
            <w:r>
              <w:t xml:space="preserve"> </w:t>
            </w:r>
            <w:r w:rsidRPr="002F2D22">
              <w:rPr>
                <w:rFonts w:ascii="Times" w:eastAsia="Times New Roman" w:hAnsi="Times" w:cs="Times"/>
                <w:iCs/>
                <w:sz w:val="20"/>
                <w:szCs w:val="20"/>
                <w:lang w:eastAsia="en-GB"/>
              </w:rPr>
              <w:t xml:space="preserve">i dati personali dei responsabili delle funzioni interne (funzioni di gestione, di vigilanza e di controllo interno), compresi la loro sede e un curriculum vitae che indichi l’istruzione, la formazione professionale e l’esperienza professionale pertinenti e una descrizione delle conoscenze, delle competenze e dell’esperienza </w:t>
            </w:r>
            <w:r w:rsidRPr="002F2D22">
              <w:rPr>
                <w:rFonts w:ascii="Times" w:eastAsia="Times New Roman" w:hAnsi="Times" w:cs="Times"/>
                <w:iCs/>
                <w:sz w:val="20"/>
                <w:szCs w:val="20"/>
                <w:lang w:eastAsia="en-GB"/>
              </w:rPr>
              <w:lastRenderedPageBreak/>
              <w:t>necessarie per l’adempimento delle responsabilità attribuite ai responsabili delle funzioni interne</w:t>
            </w:r>
            <w:r>
              <w:rPr>
                <w:rFonts w:ascii="Times" w:eastAsia="Times New Roman" w:hAnsi="Times" w:cs="Times"/>
                <w:iCs/>
                <w:sz w:val="20"/>
                <w:szCs w:val="20"/>
                <w:lang w:eastAsia="en-GB"/>
              </w:rPr>
              <w:t>;</w:t>
            </w:r>
          </w:p>
        </w:tc>
        <w:tc>
          <w:tcPr>
            <w:tcW w:w="7513" w:type="dxa"/>
            <w:shd w:val="clear" w:color="auto" w:fill="FFFFFF" w:themeFill="background1"/>
          </w:tcPr>
          <w:p w14:paraId="59176732" w14:textId="6624D1CA"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3F5978" w14:paraId="33899E83" w14:textId="77777777" w:rsidTr="00E54B34">
        <w:trPr>
          <w:trHeight w:val="624"/>
        </w:trPr>
        <w:tc>
          <w:tcPr>
            <w:tcW w:w="2726" w:type="dxa"/>
            <w:vMerge/>
            <w:shd w:val="clear" w:color="auto" w:fill="F2F2F2" w:themeFill="background1" w:themeFillShade="F2"/>
            <w:vAlign w:val="center"/>
          </w:tcPr>
          <w:p w14:paraId="0CA92F7C"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18F5321" w14:textId="77777777" w:rsidR="00D951DE" w:rsidRPr="00F2575A" w:rsidRDefault="00D951DE" w:rsidP="00A745F9">
            <w:pPr>
              <w:spacing w:after="0" w:line="240" w:lineRule="auto"/>
              <w:jc w:val="both"/>
              <w:rPr>
                <w:rFonts w:ascii="Times" w:eastAsia="Times New Roman" w:hAnsi="Times" w:cs="Times"/>
                <w:iCs/>
                <w:sz w:val="20"/>
                <w:szCs w:val="20"/>
              </w:rPr>
            </w:pPr>
            <w:r w:rsidRPr="00271315">
              <w:rPr>
                <w:rFonts w:ascii="Times" w:eastAsia="Times New Roman" w:hAnsi="Times" w:cs="Times"/>
                <w:iCs/>
                <w:sz w:val="20"/>
                <w:szCs w:val="20"/>
              </w:rPr>
              <w:t>(</w:t>
            </w:r>
            <w:r w:rsidRPr="00EF20C5">
              <w:rPr>
                <w:rFonts w:ascii="Times" w:eastAsia="Times New Roman" w:hAnsi="Times" w:cs="Times"/>
                <w:iCs/>
                <w:sz w:val="20"/>
                <w:szCs w:val="20"/>
              </w:rPr>
              <w:t>c) le politiche e procedure sufficientemente efficaci per assicurare il rispetto del regolamento (UE) 2023/1114 a norma dell’articolo 68, paragrafo 4, di tale regolamento e una descrizione dettagliata delle disposizioni atte a garantire che il personale interessato sia a conoscenza delle procedure da seguire per il corretto adempimento delle proprie responsabilità, compresa una descrizione dettagliata delle procedure che consentono al personale del richiedente di segnalare violazioni potenziali o effettive del regolamento (UE) 2023/1114 conformemente all’articolo 116 di tale regolamento;</w:t>
            </w:r>
          </w:p>
          <w:p w14:paraId="027503D7" w14:textId="77777777" w:rsidR="00D951DE" w:rsidRPr="00271315" w:rsidRDefault="00D951DE" w:rsidP="00A745F9">
            <w:pPr>
              <w:spacing w:after="0" w:line="240" w:lineRule="auto"/>
              <w:jc w:val="both"/>
              <w:rPr>
                <w:rFonts w:ascii="Times" w:eastAsia="Times New Roman" w:hAnsi="Times" w:cs="Times"/>
                <w:i/>
                <w:iCs/>
                <w:sz w:val="20"/>
                <w:szCs w:val="20"/>
                <w:lang w:eastAsia="en-GB"/>
              </w:rPr>
            </w:pPr>
          </w:p>
        </w:tc>
        <w:tc>
          <w:tcPr>
            <w:tcW w:w="7513" w:type="dxa"/>
            <w:shd w:val="clear" w:color="auto" w:fill="FFFFFF" w:themeFill="background1"/>
          </w:tcPr>
          <w:p w14:paraId="5E210354"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044020A0" w14:textId="77777777" w:rsidTr="00E54B34">
        <w:trPr>
          <w:trHeight w:val="624"/>
        </w:trPr>
        <w:tc>
          <w:tcPr>
            <w:tcW w:w="2726" w:type="dxa"/>
            <w:vMerge/>
            <w:shd w:val="clear" w:color="auto" w:fill="F2F2F2" w:themeFill="background1" w:themeFillShade="F2"/>
            <w:vAlign w:val="center"/>
          </w:tcPr>
          <w:p w14:paraId="4192CEC6" w14:textId="77777777" w:rsidR="00D951DE" w:rsidRPr="000F5074"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8134AD6" w14:textId="77777777" w:rsidR="00D951DE" w:rsidRPr="000D4DCA" w:rsidRDefault="00D951DE" w:rsidP="00A745F9">
            <w:pPr>
              <w:spacing w:after="0" w:line="240" w:lineRule="auto"/>
              <w:jc w:val="both"/>
              <w:rPr>
                <w:rFonts w:ascii="Times" w:eastAsia="Times New Roman" w:hAnsi="Times" w:cs="Times"/>
                <w:iCs/>
                <w:sz w:val="20"/>
                <w:szCs w:val="20"/>
              </w:rPr>
            </w:pPr>
            <w:r w:rsidRPr="00271315">
              <w:rPr>
                <w:rFonts w:ascii="Times" w:eastAsia="Times New Roman" w:hAnsi="Times" w:cs="Times"/>
                <w:iCs/>
                <w:sz w:val="20"/>
                <w:szCs w:val="20"/>
              </w:rPr>
              <w:t>(d)</w:t>
            </w:r>
            <w:r>
              <w:rPr>
                <w:rFonts w:ascii="Times" w:eastAsia="Times New Roman" w:hAnsi="Times" w:cs="Times"/>
                <w:iCs/>
                <w:sz w:val="20"/>
                <w:szCs w:val="20"/>
              </w:rPr>
              <w:t xml:space="preserve"> </w:t>
            </w:r>
            <w:r w:rsidRPr="00522243">
              <w:rPr>
                <w:rFonts w:ascii="Times" w:eastAsia="Times New Roman" w:hAnsi="Times" w:cs="Times"/>
                <w:iCs/>
                <w:sz w:val="20"/>
                <w:szCs w:val="20"/>
              </w:rPr>
              <w:t>una descrizione dettagliata delle modalità di tenuta delle registrazioni dell’attività e dell’organizzazione interna del richiedente conformemente all’articolo 68, paragrafo 9, del regolamento (UE) 2023/1114, comprese le modalità di tenuta delle registrazioni del richiedente a norma del regolamento delegato della Commissione che stabilisce norme tecniche adottate a norma dell’articolo 68, paragrafo 10, lettera b), del regolamento (UE) 2023/1114</w:t>
            </w:r>
            <w:r w:rsidRPr="000D4DCA">
              <w:rPr>
                <w:rFonts w:ascii="Times" w:eastAsia="Times New Roman" w:hAnsi="Times" w:cs="Times"/>
                <w:iCs/>
                <w:sz w:val="20"/>
                <w:szCs w:val="20"/>
              </w:rPr>
              <w:t>;</w:t>
            </w:r>
          </w:p>
          <w:p w14:paraId="572AC377" w14:textId="77777777" w:rsidR="00D951DE" w:rsidRPr="000D4DCA" w:rsidRDefault="00D951DE" w:rsidP="00A745F9">
            <w:pPr>
              <w:spacing w:after="0" w:line="240" w:lineRule="auto"/>
              <w:jc w:val="both"/>
              <w:rPr>
                <w:rFonts w:ascii="Times" w:eastAsia="Times New Roman" w:hAnsi="Times" w:cs="Times"/>
                <w:i/>
                <w:iCs/>
                <w:sz w:val="20"/>
                <w:szCs w:val="20"/>
                <w:lang w:eastAsia="en-GB"/>
              </w:rPr>
            </w:pPr>
          </w:p>
        </w:tc>
        <w:tc>
          <w:tcPr>
            <w:tcW w:w="7513" w:type="dxa"/>
            <w:shd w:val="clear" w:color="auto" w:fill="FFFFFF" w:themeFill="background1"/>
          </w:tcPr>
          <w:p w14:paraId="1E999043"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1B042E3D" w14:textId="77777777" w:rsidTr="00E54B34">
        <w:trPr>
          <w:trHeight w:val="624"/>
        </w:trPr>
        <w:tc>
          <w:tcPr>
            <w:tcW w:w="2726" w:type="dxa"/>
            <w:vMerge/>
            <w:shd w:val="clear" w:color="auto" w:fill="F2F2F2" w:themeFill="background1" w:themeFillShade="F2"/>
            <w:vAlign w:val="center"/>
          </w:tcPr>
          <w:p w14:paraId="2B305C23" w14:textId="77777777" w:rsidR="00D951DE" w:rsidRPr="008B23C0"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94B8586" w14:textId="77777777" w:rsidR="00D951DE" w:rsidRPr="000D4DCA" w:rsidRDefault="00D951DE" w:rsidP="00A745F9">
            <w:pPr>
              <w:spacing w:after="0" w:line="240" w:lineRule="auto"/>
              <w:jc w:val="both"/>
              <w:rPr>
                <w:rFonts w:ascii="Times" w:eastAsia="Times New Roman" w:hAnsi="Times" w:cs="Times"/>
                <w:iCs/>
                <w:sz w:val="20"/>
                <w:szCs w:val="20"/>
              </w:rPr>
            </w:pPr>
            <w:r w:rsidRPr="00271315">
              <w:rPr>
                <w:rFonts w:ascii="Times" w:eastAsia="Times New Roman" w:hAnsi="Times" w:cs="Times"/>
                <w:iCs/>
                <w:sz w:val="20"/>
                <w:szCs w:val="20"/>
              </w:rPr>
              <w:t>(e</w:t>
            </w:r>
            <w:r>
              <w:rPr>
                <w:rFonts w:ascii="Times" w:eastAsia="Times New Roman" w:hAnsi="Times" w:cs="Times"/>
                <w:iCs/>
                <w:sz w:val="20"/>
                <w:szCs w:val="20"/>
              </w:rPr>
              <w:t>)</w:t>
            </w:r>
            <w:r>
              <w:t xml:space="preserve"> </w:t>
            </w:r>
            <w:r w:rsidRPr="00522243">
              <w:rPr>
                <w:rFonts w:ascii="Times" w:eastAsia="Times New Roman" w:hAnsi="Times" w:cs="Times"/>
                <w:iCs/>
                <w:sz w:val="20"/>
                <w:szCs w:val="20"/>
              </w:rPr>
              <w:t>le disposizioni che consentono all’organo di amministrazione di valutare e riesaminare periodicamente l’efficacia delle politiche e delle procedure messe in atto per conformarsi al titolo V, capi 2 e 3, del regolamento (UE) 2023/1114 a norma dell’articolo 68, paragrafo 6, di tale regolamento, compresi tutti gli elementi seguenti</w:t>
            </w:r>
            <w:r>
              <w:rPr>
                <w:rFonts w:ascii="Times" w:eastAsia="Times New Roman" w:hAnsi="Times" w:cs="Times"/>
                <w:iCs/>
                <w:sz w:val="20"/>
                <w:szCs w:val="20"/>
              </w:rPr>
              <w:t>:</w:t>
            </w:r>
          </w:p>
          <w:p w14:paraId="614E6B93" w14:textId="77777777" w:rsidR="00D951DE" w:rsidRPr="000D4DCA" w:rsidRDefault="00D951DE" w:rsidP="00A745F9">
            <w:pPr>
              <w:spacing w:after="0" w:line="240" w:lineRule="auto"/>
              <w:jc w:val="both"/>
              <w:rPr>
                <w:rFonts w:ascii="Times" w:eastAsia="Times New Roman" w:hAnsi="Times" w:cs="Times"/>
                <w:iCs/>
                <w:sz w:val="20"/>
                <w:szCs w:val="20"/>
              </w:rPr>
            </w:pPr>
          </w:p>
          <w:p w14:paraId="1881D706" w14:textId="77777777" w:rsidR="00D951DE" w:rsidRPr="000D4DCA" w:rsidRDefault="00D951DE" w:rsidP="00A745F9">
            <w:pPr>
              <w:pStyle w:val="Paragrafoelenco"/>
              <w:numPr>
                <w:ilvl w:val="0"/>
                <w:numId w:val="6"/>
              </w:numPr>
              <w:spacing w:after="0" w:line="240" w:lineRule="auto"/>
              <w:contextualSpacing w:val="0"/>
              <w:jc w:val="both"/>
              <w:rPr>
                <w:rFonts w:ascii="Times" w:eastAsia="Times New Roman" w:hAnsi="Times" w:cs="Times"/>
                <w:iCs/>
                <w:lang w:val="it-IT"/>
              </w:rPr>
            </w:pPr>
            <w:r w:rsidRPr="00522243">
              <w:rPr>
                <w:rFonts w:ascii="Times" w:eastAsia="Times New Roman" w:hAnsi="Times" w:cs="Times"/>
                <w:iCs/>
                <w:lang w:val="it-IT"/>
              </w:rPr>
              <w:lastRenderedPageBreak/>
              <w:t>l’individuazione delle funzioni di controllo interno incaricate di monitorare tali politiche e procedure, nonché l’ambito delle loro responsabilità e le loro linee di segnalazione all’organo di amministrazione del richiedente</w:t>
            </w:r>
            <w:r>
              <w:rPr>
                <w:rFonts w:ascii="Times" w:eastAsia="Times New Roman" w:hAnsi="Times" w:cs="Times"/>
                <w:iCs/>
                <w:lang w:val="it-IT"/>
              </w:rPr>
              <w:t>;</w:t>
            </w:r>
          </w:p>
          <w:p w14:paraId="4822B4E1" w14:textId="77777777" w:rsidR="00D951DE" w:rsidRPr="000D4DCA" w:rsidRDefault="00D951DE" w:rsidP="00A745F9">
            <w:pPr>
              <w:pStyle w:val="Paragrafoelenco"/>
              <w:numPr>
                <w:ilvl w:val="0"/>
                <w:numId w:val="6"/>
              </w:numPr>
              <w:spacing w:after="0" w:line="240" w:lineRule="auto"/>
              <w:contextualSpacing w:val="0"/>
              <w:jc w:val="both"/>
              <w:rPr>
                <w:rFonts w:ascii="Times" w:eastAsia="Times New Roman" w:hAnsi="Times" w:cs="Times"/>
                <w:iCs/>
                <w:lang w:val="it-IT"/>
              </w:rPr>
            </w:pPr>
            <w:r w:rsidRPr="00522243">
              <w:rPr>
                <w:rFonts w:ascii="Times" w:eastAsia="Times New Roman" w:hAnsi="Times" w:cs="Times"/>
                <w:iCs/>
                <w:lang w:val="it-IT"/>
              </w:rPr>
              <w:t>l’indicazione della periodicità delle segnalazioni delle funzioni di controllo interno all’organo di amministrazione del richiedente in merito all’efficacia di tali politiche e procedure</w:t>
            </w:r>
            <w:r>
              <w:rPr>
                <w:rFonts w:ascii="Times" w:eastAsia="Times New Roman" w:hAnsi="Times" w:cs="Times"/>
                <w:iCs/>
                <w:lang w:val="it-IT"/>
              </w:rPr>
              <w:t>;</w:t>
            </w:r>
            <w:r w:rsidRPr="000D4DCA">
              <w:rPr>
                <w:rFonts w:ascii="Times" w:eastAsia="Times New Roman" w:hAnsi="Times" w:cs="Times"/>
                <w:iCs/>
                <w:lang w:val="it-IT"/>
              </w:rPr>
              <w:t xml:space="preserve"> </w:t>
            </w:r>
          </w:p>
          <w:p w14:paraId="76820250" w14:textId="77777777" w:rsidR="00D951DE" w:rsidRDefault="00D951DE" w:rsidP="00A745F9">
            <w:pPr>
              <w:pStyle w:val="Paragrafoelenco"/>
              <w:numPr>
                <w:ilvl w:val="0"/>
                <w:numId w:val="6"/>
              </w:numPr>
              <w:spacing w:after="0" w:line="240" w:lineRule="auto"/>
              <w:contextualSpacing w:val="0"/>
              <w:jc w:val="both"/>
              <w:rPr>
                <w:rFonts w:ascii="Times" w:eastAsia="Times New Roman" w:hAnsi="Times" w:cs="Times"/>
                <w:iCs/>
                <w:lang w:val="it-IT"/>
              </w:rPr>
            </w:pPr>
            <w:r w:rsidRPr="00A723CF">
              <w:rPr>
                <w:rFonts w:ascii="Times" w:eastAsia="Times New Roman" w:hAnsi="Times" w:cs="Times"/>
                <w:iCs/>
                <w:lang w:val="it-IT"/>
              </w:rPr>
              <w:t>una spiegazione che specifichi</w:t>
            </w:r>
            <w:r>
              <w:rPr>
                <w:rFonts w:ascii="Times" w:eastAsia="Times New Roman" w:hAnsi="Times" w:cs="Times"/>
                <w:iCs/>
                <w:lang w:val="it-IT"/>
              </w:rPr>
              <w:t>:</w:t>
            </w:r>
          </w:p>
          <w:p w14:paraId="749FAA73" w14:textId="77777777" w:rsidR="00D951DE" w:rsidRPr="00D43949" w:rsidRDefault="00D951DE" w:rsidP="00A745F9">
            <w:pPr>
              <w:pStyle w:val="Paragrafoelenco"/>
              <w:numPr>
                <w:ilvl w:val="1"/>
                <w:numId w:val="6"/>
              </w:numPr>
              <w:spacing w:after="0" w:line="240" w:lineRule="auto"/>
              <w:contextualSpacing w:val="0"/>
              <w:jc w:val="both"/>
              <w:rPr>
                <w:rFonts w:ascii="Times" w:eastAsia="Times New Roman" w:hAnsi="Times" w:cs="Times"/>
                <w:iCs/>
                <w:lang w:val="it-IT"/>
              </w:rPr>
            </w:pPr>
            <w:r w:rsidRPr="00A723CF">
              <w:rPr>
                <w:rFonts w:ascii="Times" w:eastAsia="Times New Roman" w:hAnsi="Times" w:cs="Times"/>
                <w:iCs/>
                <w:lang w:val="it-IT"/>
              </w:rPr>
              <w:t xml:space="preserve">il modo in cui il richiedente garantisce che le funzioni di controllo interno operino </w:t>
            </w:r>
            <w:r w:rsidRPr="00D43949">
              <w:rPr>
                <w:rFonts w:ascii="Times" w:eastAsia="Times New Roman" w:hAnsi="Times" w:cs="Times"/>
                <w:iCs/>
                <w:lang w:val="it-IT"/>
              </w:rPr>
              <w:t>in modo indipendente e separato dalle funzioni da esse controllate;</w:t>
            </w:r>
          </w:p>
          <w:p w14:paraId="2C5AF37E" w14:textId="77777777" w:rsidR="00D951DE" w:rsidRPr="00D43949" w:rsidRDefault="00D951DE" w:rsidP="00A745F9">
            <w:pPr>
              <w:pStyle w:val="Paragrafoelenco"/>
              <w:numPr>
                <w:ilvl w:val="1"/>
                <w:numId w:val="6"/>
              </w:numPr>
              <w:spacing w:after="0" w:line="240" w:lineRule="auto"/>
              <w:contextualSpacing w:val="0"/>
              <w:jc w:val="both"/>
              <w:rPr>
                <w:rFonts w:ascii="Times" w:eastAsia="Times New Roman" w:hAnsi="Times" w:cs="Times"/>
                <w:iCs/>
                <w:lang w:val="it-IT"/>
              </w:rPr>
            </w:pPr>
            <w:r w:rsidRPr="00D43949">
              <w:rPr>
                <w:rFonts w:ascii="Times" w:eastAsia="Times New Roman" w:hAnsi="Times" w:cs="Times"/>
                <w:iCs/>
                <w:lang w:val="it-IT"/>
              </w:rPr>
              <w:t>se le funzioni di controllo interno hanno accesso alle risorse e alle informazioni necessarie;</w:t>
            </w:r>
          </w:p>
          <w:p w14:paraId="383BEA09" w14:textId="77777777" w:rsidR="00D951DE" w:rsidRPr="000D4DCA" w:rsidRDefault="00D951DE" w:rsidP="00A745F9">
            <w:pPr>
              <w:pStyle w:val="Paragrafoelenco"/>
              <w:numPr>
                <w:ilvl w:val="1"/>
                <w:numId w:val="6"/>
              </w:numPr>
              <w:spacing w:after="0" w:line="240" w:lineRule="auto"/>
              <w:contextualSpacing w:val="0"/>
              <w:jc w:val="both"/>
              <w:rPr>
                <w:rFonts w:ascii="Times" w:eastAsia="Times New Roman" w:hAnsi="Times" w:cs="Times"/>
                <w:iCs/>
                <w:lang w:val="it-IT"/>
              </w:rPr>
            </w:pPr>
            <w:r w:rsidRPr="00D43949">
              <w:rPr>
                <w:rFonts w:ascii="Times" w:eastAsia="Times New Roman" w:hAnsi="Times" w:cs="Times"/>
                <w:iCs/>
                <w:lang w:val="it-IT"/>
              </w:rPr>
              <w:t>se tali funzioni di controllo interno possono riferire direttamente all’organo di amministrazione del richiedente almeno una volta all’anno e su base ad hoc, anche</w:t>
            </w:r>
            <w:r w:rsidRPr="00562F9A">
              <w:rPr>
                <w:rFonts w:ascii="Times" w:eastAsia="Times New Roman" w:hAnsi="Times" w:cs="Times"/>
                <w:iCs/>
                <w:lang w:val="it-IT"/>
              </w:rPr>
              <w:t xml:space="preserve"> qualora rilevino un rischio significativo di mancato rispetto da parte del richiedente degli obblighi che gli incombono a norma del regolamento (UE) 2023/1114</w:t>
            </w:r>
            <w:r w:rsidRPr="000D4DCA">
              <w:rPr>
                <w:rFonts w:ascii="Times" w:eastAsia="Times New Roman" w:hAnsi="Times" w:cs="Times"/>
                <w:iCs/>
                <w:lang w:val="it-IT"/>
              </w:rPr>
              <w:t xml:space="preserve">; </w:t>
            </w:r>
          </w:p>
          <w:p w14:paraId="6D8E3D20" w14:textId="77777777" w:rsidR="00D951DE" w:rsidRPr="000D4DCA" w:rsidRDefault="00D951DE" w:rsidP="00A745F9">
            <w:pPr>
              <w:pStyle w:val="Paragrafoelenco"/>
              <w:numPr>
                <w:ilvl w:val="0"/>
                <w:numId w:val="6"/>
              </w:numPr>
              <w:spacing w:after="0" w:line="240" w:lineRule="auto"/>
              <w:contextualSpacing w:val="0"/>
              <w:jc w:val="both"/>
              <w:rPr>
                <w:rFonts w:ascii="Times" w:eastAsia="Times New Roman" w:hAnsi="Times" w:cs="Times"/>
                <w:iCs/>
                <w:lang w:val="it-IT"/>
              </w:rPr>
            </w:pPr>
            <w:r w:rsidRPr="00562F9A">
              <w:rPr>
                <w:rFonts w:ascii="Times" w:eastAsia="Times New Roman" w:hAnsi="Times" w:cs="Times"/>
                <w:iCs/>
                <w:lang w:val="it-IT"/>
              </w:rPr>
              <w:t xml:space="preserve">una descrizione dei sistemi TIC, delle tutele e dei controlli messi in atto per monitorare le attività del richiedente e per </w:t>
            </w:r>
            <w:r w:rsidRPr="00562F9A">
              <w:rPr>
                <w:rFonts w:ascii="Times" w:eastAsia="Times New Roman" w:hAnsi="Times" w:cs="Times"/>
                <w:iCs/>
                <w:lang w:val="it-IT"/>
              </w:rPr>
              <w:lastRenderedPageBreak/>
              <w:t>conformarsi al titolo V, capi 2 e 3, del regolamento (UE) 2023/1114, compresi i sistemi di back-up, nonché i sistemi TIC e i controlli dei rischi, se non previsti a norma dell’articolo 9 del presente regolamento.</w:t>
            </w:r>
            <w:r>
              <w:rPr>
                <w:rFonts w:ascii="Times" w:eastAsia="Times New Roman" w:hAnsi="Times" w:cs="Times"/>
                <w:iCs/>
                <w:lang w:val="it-IT"/>
              </w:rPr>
              <w:t xml:space="preserve"> </w:t>
            </w:r>
          </w:p>
        </w:tc>
        <w:tc>
          <w:tcPr>
            <w:tcW w:w="7513" w:type="dxa"/>
            <w:shd w:val="clear" w:color="auto" w:fill="FFFFFF" w:themeFill="background1"/>
          </w:tcPr>
          <w:p w14:paraId="04CBD703"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49B61FE0" w14:textId="77777777" w:rsidTr="00E54B34">
        <w:trPr>
          <w:trHeight w:val="624"/>
        </w:trPr>
        <w:tc>
          <w:tcPr>
            <w:tcW w:w="2726" w:type="dxa"/>
            <w:vMerge/>
            <w:shd w:val="clear" w:color="auto" w:fill="F2F2F2" w:themeFill="background1" w:themeFillShade="F2"/>
            <w:vAlign w:val="center"/>
          </w:tcPr>
          <w:p w14:paraId="0A6E8AB8" w14:textId="77777777" w:rsidR="00D951DE" w:rsidRPr="00670157"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DCC5CEE" w14:textId="77777777" w:rsidR="00D951DE" w:rsidRPr="00670157" w:rsidRDefault="00D951DE" w:rsidP="00A745F9">
            <w:pPr>
              <w:spacing w:after="0" w:line="240" w:lineRule="auto"/>
              <w:jc w:val="both"/>
              <w:rPr>
                <w:rFonts w:ascii="Times" w:eastAsia="Times New Roman" w:hAnsi="Times" w:cs="Times"/>
                <w:i/>
                <w:iCs/>
                <w:sz w:val="20"/>
                <w:szCs w:val="20"/>
                <w:lang w:eastAsia="en-GB"/>
              </w:rPr>
            </w:pPr>
            <w:r w:rsidRPr="00552AC0">
              <w:rPr>
                <w:rFonts w:ascii="Times" w:eastAsia="Times New Roman" w:hAnsi="Times" w:cs="Times"/>
                <w:iCs/>
                <w:sz w:val="20"/>
                <w:szCs w:val="20"/>
              </w:rPr>
              <w:t xml:space="preserve">(f) </w:t>
            </w:r>
            <w:r w:rsidRPr="002A1623">
              <w:rPr>
                <w:rFonts w:ascii="Times" w:eastAsia="Times New Roman" w:hAnsi="Times" w:cs="Times"/>
                <w:iCs/>
                <w:sz w:val="20"/>
                <w:szCs w:val="20"/>
              </w:rPr>
              <w:t>se del caso, una descrizione delle modalità messe in atto per prevenire e individuare gli abusi di mercato conformemente all’articolo 92 del regolamento (UE) 2023/1114</w:t>
            </w:r>
            <w:r w:rsidRPr="000F5074">
              <w:rPr>
                <w:rFonts w:ascii="Times" w:eastAsia="Times New Roman" w:hAnsi="Times" w:cs="Times"/>
                <w:iCs/>
                <w:sz w:val="20"/>
                <w:szCs w:val="20"/>
              </w:rPr>
              <w:t>;</w:t>
            </w:r>
          </w:p>
        </w:tc>
        <w:tc>
          <w:tcPr>
            <w:tcW w:w="7513" w:type="dxa"/>
            <w:shd w:val="clear" w:color="auto" w:fill="FFFFFF" w:themeFill="background1"/>
          </w:tcPr>
          <w:p w14:paraId="3415F71F" w14:textId="68C4F3EE"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4FD6A0A5" w14:textId="77777777" w:rsidTr="00E54B34">
        <w:trPr>
          <w:trHeight w:val="624"/>
        </w:trPr>
        <w:tc>
          <w:tcPr>
            <w:tcW w:w="2726" w:type="dxa"/>
            <w:vMerge/>
            <w:shd w:val="clear" w:color="auto" w:fill="F2F2F2" w:themeFill="background1" w:themeFillShade="F2"/>
            <w:vAlign w:val="center"/>
          </w:tcPr>
          <w:p w14:paraId="6AF1B661" w14:textId="77777777" w:rsidR="00D951DE" w:rsidRPr="00670157"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5EE978E" w14:textId="77777777" w:rsidR="00D951DE" w:rsidRPr="00670157" w:rsidRDefault="00D951DE" w:rsidP="00A745F9">
            <w:pPr>
              <w:spacing w:after="0" w:line="240" w:lineRule="auto"/>
              <w:jc w:val="both"/>
              <w:rPr>
                <w:rFonts w:ascii="Times" w:eastAsia="Times New Roman" w:hAnsi="Times" w:cs="Times"/>
                <w:i/>
                <w:iCs/>
                <w:sz w:val="20"/>
                <w:szCs w:val="20"/>
                <w:lang w:eastAsia="en-GB"/>
              </w:rPr>
            </w:pPr>
            <w:r w:rsidRPr="00552AC0">
              <w:rPr>
                <w:rFonts w:ascii="Times" w:eastAsia="Times New Roman" w:hAnsi="Times" w:cs="Times"/>
                <w:iCs/>
                <w:sz w:val="20"/>
                <w:szCs w:val="20"/>
              </w:rPr>
              <w:t>(g)</w:t>
            </w:r>
            <w:r w:rsidRPr="000F5074">
              <w:rPr>
                <w:rFonts w:ascii="Times" w:eastAsia="Times New Roman" w:hAnsi="Times" w:cs="Times"/>
                <w:iCs/>
                <w:sz w:val="20"/>
                <w:szCs w:val="20"/>
              </w:rPr>
              <w:t xml:space="preserve"> </w:t>
            </w:r>
            <w:r w:rsidRPr="002A1623">
              <w:rPr>
                <w:rFonts w:ascii="Times" w:eastAsia="Times New Roman" w:hAnsi="Times" w:cs="Times"/>
                <w:iCs/>
                <w:sz w:val="20"/>
                <w:szCs w:val="20"/>
              </w:rPr>
              <w:t>se il richiedente ha nominato o intende nominare revisori esterni e, in tal caso, il loro nome e i loro recapiti, se disponibili</w:t>
            </w:r>
            <w:r w:rsidRPr="000F5074">
              <w:rPr>
                <w:rFonts w:ascii="Times" w:eastAsia="Times New Roman" w:hAnsi="Times" w:cs="Times"/>
                <w:iCs/>
                <w:sz w:val="20"/>
                <w:szCs w:val="20"/>
              </w:rPr>
              <w:t>;</w:t>
            </w:r>
          </w:p>
        </w:tc>
        <w:tc>
          <w:tcPr>
            <w:tcW w:w="7513" w:type="dxa"/>
            <w:shd w:val="clear" w:color="auto" w:fill="FFFFFF" w:themeFill="background1"/>
          </w:tcPr>
          <w:p w14:paraId="3D390737" w14:textId="77777777" w:rsidR="00D951DE" w:rsidRPr="004C7B67" w:rsidRDefault="00D951DE" w:rsidP="00A745F9">
            <w:pPr>
              <w:spacing w:after="0" w:line="240" w:lineRule="auto"/>
              <w:jc w:val="both"/>
              <w:rPr>
                <w:rFonts w:ascii="Times" w:hAnsi="Times" w:cs="Times"/>
                <w:iCs/>
                <w:color w:val="000000" w:themeColor="text1"/>
                <w:sz w:val="20"/>
                <w:szCs w:val="20"/>
              </w:rPr>
            </w:pPr>
          </w:p>
        </w:tc>
      </w:tr>
      <w:tr w:rsidR="00D951DE" w:rsidRPr="008B23C0" w14:paraId="5D195471" w14:textId="77777777" w:rsidTr="00E54B34">
        <w:trPr>
          <w:trHeight w:val="624"/>
        </w:trPr>
        <w:tc>
          <w:tcPr>
            <w:tcW w:w="2726" w:type="dxa"/>
            <w:vMerge/>
            <w:shd w:val="clear" w:color="auto" w:fill="F2F2F2" w:themeFill="background1" w:themeFillShade="F2"/>
            <w:vAlign w:val="center"/>
          </w:tcPr>
          <w:p w14:paraId="77DDC7B5" w14:textId="77777777" w:rsidR="00D951DE" w:rsidRPr="00670157" w:rsidRDefault="00D951DE" w:rsidP="00A745F9">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2436EEE" w14:textId="77777777" w:rsidR="00D951DE" w:rsidRPr="00670157" w:rsidRDefault="00D951DE" w:rsidP="00A745F9">
            <w:pPr>
              <w:spacing w:after="0" w:line="240" w:lineRule="auto"/>
              <w:jc w:val="both"/>
              <w:rPr>
                <w:rFonts w:ascii="Times" w:eastAsia="Times New Roman" w:hAnsi="Times" w:cs="Times"/>
                <w:i/>
                <w:iCs/>
                <w:sz w:val="20"/>
                <w:szCs w:val="20"/>
                <w:lang w:eastAsia="en-GB"/>
              </w:rPr>
            </w:pPr>
            <w:r w:rsidRPr="000A5FEF">
              <w:rPr>
                <w:rFonts w:ascii="Times" w:eastAsia="Times New Roman" w:hAnsi="Times" w:cs="Times"/>
                <w:iCs/>
                <w:sz w:val="20"/>
                <w:szCs w:val="20"/>
              </w:rPr>
              <w:t xml:space="preserve">(h) </w:t>
            </w:r>
            <w:bookmarkStart w:id="0" w:name="_Hlk192151107"/>
            <w:r w:rsidRPr="002A1623">
              <w:rPr>
                <w:rFonts w:ascii="Times" w:eastAsia="Times New Roman" w:hAnsi="Times" w:cs="Times"/>
                <w:iCs/>
                <w:sz w:val="20"/>
                <w:szCs w:val="20"/>
              </w:rPr>
              <w:t>le politiche e procedure contabili in base alle quali il richiedente registrerà e comunicherà le proprie informazioni finanziarie, comprese le date di inizio e di fine dell’esercizio contabile applicato</w:t>
            </w:r>
            <w:r w:rsidRPr="000F5074">
              <w:rPr>
                <w:rFonts w:ascii="Times" w:eastAsia="Times New Roman" w:hAnsi="Times" w:cs="Times"/>
                <w:iCs/>
                <w:sz w:val="20"/>
                <w:szCs w:val="20"/>
              </w:rPr>
              <w:t>.</w:t>
            </w:r>
            <w:bookmarkEnd w:id="0"/>
          </w:p>
        </w:tc>
        <w:tc>
          <w:tcPr>
            <w:tcW w:w="7513" w:type="dxa"/>
            <w:shd w:val="clear" w:color="auto" w:fill="FFFFFF" w:themeFill="background1"/>
          </w:tcPr>
          <w:p w14:paraId="400363D2" w14:textId="77777777" w:rsidR="00D951DE" w:rsidRPr="004C7B67" w:rsidRDefault="00D951DE" w:rsidP="00EB6EC5">
            <w:pPr>
              <w:spacing w:after="0" w:line="240" w:lineRule="auto"/>
              <w:jc w:val="both"/>
              <w:rPr>
                <w:rFonts w:ascii="Times" w:hAnsi="Times" w:cs="Times"/>
                <w:iCs/>
                <w:color w:val="000000" w:themeColor="text1"/>
                <w:sz w:val="20"/>
                <w:szCs w:val="20"/>
              </w:rPr>
            </w:pPr>
          </w:p>
        </w:tc>
      </w:tr>
      <w:tr w:rsidR="00D951DE" w:rsidRPr="008B23C0" w14:paraId="69385B6D" w14:textId="77777777" w:rsidTr="00111686">
        <w:trPr>
          <w:trHeight w:val="624"/>
        </w:trPr>
        <w:tc>
          <w:tcPr>
            <w:tcW w:w="2726" w:type="dxa"/>
            <w:shd w:val="clear" w:color="auto" w:fill="DEEAF6" w:themeFill="accent1" w:themeFillTint="33"/>
            <w:vAlign w:val="center"/>
          </w:tcPr>
          <w:p w14:paraId="2FC95522" w14:textId="77777777" w:rsidR="00D951DE" w:rsidRPr="00670157" w:rsidRDefault="00D951DE" w:rsidP="00A745F9">
            <w:pPr>
              <w:spacing w:after="0" w:line="240" w:lineRule="auto"/>
              <w:jc w:val="both"/>
              <w:rPr>
                <w:rFonts w:ascii="Times" w:hAnsi="Times" w:cs="Times"/>
                <w:b/>
                <w:bCs/>
                <w:sz w:val="20"/>
                <w:szCs w:val="20"/>
              </w:rPr>
            </w:pPr>
            <w:r w:rsidRPr="000057D4">
              <w:rPr>
                <w:rFonts w:ascii="Times" w:hAnsi="Times" w:cs="Times"/>
                <w:b/>
                <w:bCs/>
                <w:sz w:val="20"/>
                <w:szCs w:val="20"/>
              </w:rPr>
              <w:t xml:space="preserve">Integrazioni </w:t>
            </w:r>
            <w:r>
              <w:rPr>
                <w:rFonts w:ascii="Times" w:hAnsi="Times" w:cs="Times"/>
                <w:b/>
                <w:bCs/>
                <w:sz w:val="20"/>
                <w:szCs w:val="20"/>
              </w:rPr>
              <w:t>necessarie in caso di istanza come PSP</w:t>
            </w:r>
          </w:p>
        </w:tc>
        <w:tc>
          <w:tcPr>
            <w:tcW w:w="4640" w:type="dxa"/>
            <w:shd w:val="clear" w:color="auto" w:fill="DEEAF6" w:themeFill="accent1" w:themeFillTint="33"/>
          </w:tcPr>
          <w:p w14:paraId="59D3CA46" w14:textId="77777777" w:rsidR="00D951DE" w:rsidRDefault="00D951DE" w:rsidP="00A745F9">
            <w:pPr>
              <w:spacing w:after="0" w:line="240" w:lineRule="auto"/>
              <w:jc w:val="both"/>
              <w:rPr>
                <w:rFonts w:ascii="Times" w:eastAsia="Times New Roman" w:hAnsi="Times" w:cs="Times"/>
                <w:iCs/>
                <w:sz w:val="20"/>
                <w:szCs w:val="20"/>
              </w:rPr>
            </w:pPr>
            <w:r w:rsidRPr="007D69CB">
              <w:rPr>
                <w:rFonts w:ascii="Times" w:eastAsia="Times New Roman" w:hAnsi="Times" w:cs="Times"/>
                <w:iCs/>
                <w:sz w:val="20"/>
                <w:szCs w:val="20"/>
              </w:rPr>
              <w:t xml:space="preserve">I CASP </w:t>
            </w:r>
            <w:r>
              <w:rPr>
                <w:rFonts w:ascii="Times" w:eastAsia="Times New Roman" w:hAnsi="Times" w:cs="Times"/>
                <w:iCs/>
                <w:sz w:val="20"/>
                <w:szCs w:val="20"/>
              </w:rPr>
              <w:t>che intendono richiedere autorizzazione anche come PSP</w:t>
            </w:r>
            <w:r w:rsidRPr="007D69CB">
              <w:rPr>
                <w:rFonts w:ascii="Times" w:eastAsia="Times New Roman" w:hAnsi="Times" w:cs="Times"/>
                <w:iCs/>
                <w:sz w:val="20"/>
                <w:szCs w:val="20"/>
              </w:rPr>
              <w:t xml:space="preserve"> dovranno adeguare gli organi sociali</w:t>
            </w:r>
            <w:r>
              <w:rPr>
                <w:rFonts w:ascii="Times" w:eastAsia="Times New Roman" w:hAnsi="Times" w:cs="Times"/>
                <w:iCs/>
                <w:sz w:val="20"/>
                <w:szCs w:val="20"/>
              </w:rPr>
              <w:t>, i presidi organizzativi</w:t>
            </w:r>
            <w:r w:rsidRPr="007D69CB">
              <w:rPr>
                <w:rFonts w:ascii="Times" w:eastAsia="Times New Roman" w:hAnsi="Times" w:cs="Times"/>
                <w:iCs/>
                <w:sz w:val="20"/>
                <w:szCs w:val="20"/>
              </w:rPr>
              <w:t xml:space="preserve"> e il sistema dei controlli interni a quanto stabilito dalle Disposizioni per IP e IMEL</w:t>
            </w:r>
            <w:r>
              <w:rPr>
                <w:rFonts w:ascii="Times" w:eastAsia="Times New Roman" w:hAnsi="Times" w:cs="Times"/>
                <w:iCs/>
                <w:sz w:val="20"/>
                <w:szCs w:val="20"/>
              </w:rPr>
              <w:t xml:space="preserve"> (Capitolo VI)</w:t>
            </w:r>
            <w:r w:rsidRPr="007D69CB">
              <w:rPr>
                <w:rFonts w:ascii="Times" w:eastAsia="Times New Roman" w:hAnsi="Times" w:cs="Times"/>
                <w:iCs/>
                <w:sz w:val="20"/>
                <w:szCs w:val="20"/>
              </w:rPr>
              <w:t>, a cui si rimanda per maggiori dettagli, anche in relazione a eventuali semplificazioni previste in base al principio di proporzionalità (es. funzione unica di controllo).</w:t>
            </w:r>
          </w:p>
          <w:p w14:paraId="2D03BFDD" w14:textId="77777777" w:rsidR="00D951DE" w:rsidRPr="000A5FEF" w:rsidRDefault="00D951DE" w:rsidP="00A745F9">
            <w:pPr>
              <w:spacing w:after="0" w:line="240" w:lineRule="auto"/>
              <w:jc w:val="both"/>
              <w:rPr>
                <w:rFonts w:ascii="Times" w:eastAsia="Times New Roman" w:hAnsi="Times" w:cs="Times"/>
                <w:iCs/>
                <w:sz w:val="20"/>
                <w:szCs w:val="20"/>
              </w:rPr>
            </w:pPr>
            <w:r>
              <w:rPr>
                <w:rFonts w:ascii="Times" w:eastAsia="Times New Roman" w:hAnsi="Times" w:cs="Times"/>
                <w:iCs/>
                <w:sz w:val="20"/>
                <w:szCs w:val="20"/>
              </w:rPr>
              <w:t xml:space="preserve">I CASP </w:t>
            </w:r>
            <w:r w:rsidRPr="000F2495">
              <w:rPr>
                <w:rFonts w:ascii="Times" w:eastAsia="Times New Roman" w:hAnsi="Times" w:cs="Times"/>
                <w:iCs/>
                <w:sz w:val="20"/>
                <w:szCs w:val="20"/>
              </w:rPr>
              <w:t>dovranno</w:t>
            </w:r>
            <w:r>
              <w:rPr>
                <w:rFonts w:ascii="Times" w:eastAsia="Times New Roman" w:hAnsi="Times" w:cs="Times"/>
                <w:iCs/>
                <w:sz w:val="20"/>
                <w:szCs w:val="20"/>
              </w:rPr>
              <w:t xml:space="preserve"> inoltre</w:t>
            </w:r>
            <w:r w:rsidRPr="000F2495">
              <w:rPr>
                <w:rFonts w:ascii="Times" w:eastAsia="Times New Roman" w:hAnsi="Times" w:cs="Times"/>
                <w:iCs/>
                <w:sz w:val="20"/>
                <w:szCs w:val="20"/>
              </w:rPr>
              <w:t xml:space="preserve"> fornire le informazioni relative alle misure di tutela della clientela, con l’esclusione delle specifiche previsioni che, in base all’Opinion, non trovano applicazione.</w:t>
            </w:r>
          </w:p>
        </w:tc>
        <w:tc>
          <w:tcPr>
            <w:tcW w:w="7513" w:type="dxa"/>
            <w:shd w:val="clear" w:color="auto" w:fill="DEEAF6" w:themeFill="accent1" w:themeFillTint="33"/>
          </w:tcPr>
          <w:p w14:paraId="03E4525D" w14:textId="77777777" w:rsidR="00D951DE" w:rsidRPr="00EB6EC5" w:rsidRDefault="00D951DE" w:rsidP="00A745F9">
            <w:pPr>
              <w:spacing w:after="0" w:line="240" w:lineRule="auto"/>
              <w:jc w:val="both"/>
              <w:rPr>
                <w:rFonts w:ascii="Times New Roman" w:hAnsi="Times New Roman" w:cs="Times New Roman"/>
                <w:iCs/>
                <w:color w:val="000000" w:themeColor="text1"/>
                <w:sz w:val="20"/>
                <w:szCs w:val="20"/>
              </w:rPr>
            </w:pPr>
          </w:p>
        </w:tc>
      </w:tr>
      <w:tr w:rsidR="00D951DE" w:rsidRPr="008B23C0" w14:paraId="6A535B80" w14:textId="77777777" w:rsidTr="00A745F9">
        <w:trPr>
          <w:trHeight w:val="340"/>
        </w:trPr>
        <w:tc>
          <w:tcPr>
            <w:tcW w:w="14879" w:type="dxa"/>
            <w:gridSpan w:val="3"/>
            <w:shd w:val="clear" w:color="auto" w:fill="8496B0" w:themeFill="text2" w:themeFillTint="99"/>
            <w:vAlign w:val="center"/>
          </w:tcPr>
          <w:p w14:paraId="321853CB" w14:textId="77777777" w:rsidR="00D951DE" w:rsidRPr="001C020D" w:rsidRDefault="00D951DE" w:rsidP="00A745F9">
            <w:pPr>
              <w:pStyle w:val="Paragrafoelenco"/>
              <w:numPr>
                <w:ilvl w:val="1"/>
                <w:numId w:val="30"/>
              </w:numPr>
              <w:spacing w:after="0" w:line="240" w:lineRule="auto"/>
              <w:jc w:val="both"/>
              <w:rPr>
                <w:rFonts w:ascii="Times" w:eastAsia="Times New Roman" w:hAnsi="Times" w:cs="Times"/>
                <w:b/>
                <w:bCs/>
                <w:iCs/>
                <w:color w:val="FFFFFF" w:themeColor="background1"/>
                <w:lang w:val="it-IT"/>
              </w:rPr>
            </w:pPr>
            <w:r w:rsidRPr="001C020D">
              <w:rPr>
                <w:rFonts w:ascii="Times" w:eastAsia="Times New Roman" w:hAnsi="Times" w:cs="Times"/>
                <w:b/>
                <w:bCs/>
                <w:iCs/>
                <w:color w:val="FFFFFF" w:themeColor="background1"/>
                <w:lang w:val="it-IT"/>
              </w:rPr>
              <w:t>Conflitti di interesse</w:t>
            </w:r>
          </w:p>
        </w:tc>
      </w:tr>
      <w:tr w:rsidR="00D951DE" w:rsidRPr="008B23C0" w14:paraId="2E4E1C4D" w14:textId="77777777" w:rsidTr="00111686">
        <w:trPr>
          <w:trHeight w:val="624"/>
        </w:trPr>
        <w:tc>
          <w:tcPr>
            <w:tcW w:w="7366" w:type="dxa"/>
            <w:gridSpan w:val="2"/>
            <w:shd w:val="clear" w:color="auto" w:fill="F2F2F2" w:themeFill="background1" w:themeFillShade="F2"/>
            <w:vAlign w:val="center"/>
          </w:tcPr>
          <w:p w14:paraId="1AEA25A7" w14:textId="77777777" w:rsidR="00D951DE" w:rsidRDefault="00D951DE" w:rsidP="00A745F9">
            <w:pPr>
              <w:spacing w:after="0" w:line="240" w:lineRule="auto"/>
              <w:jc w:val="both"/>
              <w:rPr>
                <w:rFonts w:ascii="Times" w:eastAsia="Times New Roman" w:hAnsi="Times" w:cs="Times"/>
                <w:iCs/>
                <w:sz w:val="20"/>
                <w:szCs w:val="20"/>
              </w:rPr>
            </w:pPr>
            <w:r w:rsidRPr="00614D18">
              <w:rPr>
                <w:rFonts w:ascii="Times" w:hAnsi="Times" w:cs="Times"/>
                <w:sz w:val="20"/>
                <w:szCs w:val="20"/>
              </w:rPr>
              <w:t>A norma dell’articolo 72 del regolamento (UE) 2023/1114</w:t>
            </w:r>
            <w:r>
              <w:rPr>
                <w:rFonts w:ascii="Times" w:hAnsi="Times" w:cs="Times"/>
                <w:sz w:val="20"/>
                <w:szCs w:val="20"/>
              </w:rPr>
              <w:t xml:space="preserve"> e dell’articolo 4, paragrafo 2 del regolamento delegato (UE) della Commissione 2025/305</w:t>
            </w:r>
            <w:r w:rsidRPr="00614D18">
              <w:rPr>
                <w:rFonts w:ascii="Times" w:hAnsi="Times" w:cs="Times"/>
                <w:sz w:val="20"/>
                <w:szCs w:val="20"/>
              </w:rPr>
              <w:t xml:space="preserve">, per individuare, prevenire, </w:t>
            </w:r>
            <w:r w:rsidRPr="00614D18">
              <w:rPr>
                <w:rFonts w:ascii="Times" w:hAnsi="Times" w:cs="Times"/>
                <w:sz w:val="20"/>
                <w:szCs w:val="20"/>
              </w:rPr>
              <w:lastRenderedPageBreak/>
              <w:t>gestire e comunicare i conflitti di interesse, i richiedenti forniscono all’autorità competente tutte le informazioni seguenti sulla gestione dei conflitti di interesse</w:t>
            </w:r>
            <w:r w:rsidRPr="008D0212">
              <w:rPr>
                <w:rFonts w:ascii="Times" w:eastAsia="Times New Roman" w:hAnsi="Times" w:cs="Times"/>
                <w:sz w:val="20"/>
                <w:szCs w:val="20"/>
                <w:lang w:eastAsia="en-GB"/>
              </w:rPr>
              <w:t>:</w:t>
            </w:r>
          </w:p>
        </w:tc>
        <w:tc>
          <w:tcPr>
            <w:tcW w:w="7513" w:type="dxa"/>
            <w:shd w:val="clear" w:color="auto" w:fill="F2F2F2" w:themeFill="background1" w:themeFillShade="F2"/>
            <w:vAlign w:val="center"/>
          </w:tcPr>
          <w:p w14:paraId="23B33D94" w14:textId="77777777" w:rsidR="00D951DE" w:rsidRPr="005B3AE0" w:rsidRDefault="00D951DE" w:rsidP="00A745F9">
            <w:pPr>
              <w:spacing w:after="0" w:line="240" w:lineRule="auto"/>
              <w:jc w:val="both"/>
              <w:rPr>
                <w:rFonts w:ascii="Times New Roman" w:eastAsia="Times New Roman" w:hAnsi="Times New Roman" w:cs="Times New Roman"/>
                <w:i/>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lastRenderedPageBreak/>
              <w:t>Le informazioni di dettaglio potranno essere fornite nell'Allegato 4.2, suddividendole in paragrafi.</w:t>
            </w:r>
          </w:p>
        </w:tc>
      </w:tr>
      <w:tr w:rsidR="00E54B34" w:rsidRPr="008B23C0" w14:paraId="6D66B20F" w14:textId="77777777" w:rsidTr="00E54B34">
        <w:trPr>
          <w:trHeight w:val="624"/>
        </w:trPr>
        <w:tc>
          <w:tcPr>
            <w:tcW w:w="2726" w:type="dxa"/>
            <w:vMerge w:val="restart"/>
            <w:shd w:val="clear" w:color="auto" w:fill="F2F2F2" w:themeFill="background1" w:themeFillShade="F2"/>
            <w:vAlign w:val="center"/>
          </w:tcPr>
          <w:p w14:paraId="05A07F08" w14:textId="77777777" w:rsidR="00E54B34" w:rsidRPr="000F5074" w:rsidRDefault="00E54B34" w:rsidP="00A745F9">
            <w:pPr>
              <w:spacing w:after="0" w:line="240" w:lineRule="auto"/>
              <w:jc w:val="both"/>
              <w:rPr>
                <w:rFonts w:ascii="Times" w:hAnsi="Times" w:cs="Times"/>
                <w:b/>
                <w:bCs/>
                <w:sz w:val="20"/>
                <w:szCs w:val="20"/>
              </w:rPr>
            </w:pPr>
            <w:r w:rsidRPr="000F5074">
              <w:rPr>
                <w:rFonts w:ascii="Times" w:hAnsi="Times" w:cs="Times"/>
                <w:b/>
                <w:bCs/>
                <w:sz w:val="20"/>
                <w:szCs w:val="20"/>
              </w:rPr>
              <w:t xml:space="preserve">Conflitti di interesse </w:t>
            </w:r>
          </w:p>
        </w:tc>
        <w:tc>
          <w:tcPr>
            <w:tcW w:w="4640" w:type="dxa"/>
            <w:shd w:val="clear" w:color="auto" w:fill="F2F2F2" w:themeFill="background1" w:themeFillShade="F2"/>
          </w:tcPr>
          <w:p w14:paraId="79360D33" w14:textId="77777777" w:rsidR="00E54B34" w:rsidRPr="005A3EFB" w:rsidRDefault="00E54B34" w:rsidP="00A745F9">
            <w:pPr>
              <w:pStyle w:val="Paragrafoelenco"/>
              <w:numPr>
                <w:ilvl w:val="0"/>
                <w:numId w:val="7"/>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una copia della politica del richiedente in materia di conflitti di interessi, unitamente a una descrizione del modo in cui tale politica</w:t>
            </w:r>
            <w:r w:rsidRPr="005A3EFB">
              <w:rPr>
                <w:rFonts w:ascii="Times" w:eastAsia="Times New Roman" w:hAnsi="Times" w:cs="Times"/>
                <w:iCs/>
                <w:lang w:val="it-IT"/>
              </w:rPr>
              <w:t>:</w:t>
            </w:r>
          </w:p>
          <w:p w14:paraId="29A55FAE" w14:textId="77777777" w:rsidR="00E54B34" w:rsidRPr="0080402F" w:rsidRDefault="00E54B34" w:rsidP="00A745F9">
            <w:pPr>
              <w:pStyle w:val="Paragrafoelenco"/>
              <w:numPr>
                <w:ilvl w:val="1"/>
                <w:numId w:val="8"/>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garantisce che il richiedente individui, prevenga e gestisca i conflitti di interesse conformemente all’articolo 72, paragrafo 1, del regolamento (UE) 2023/1114 e comunichi i conflitti di interesse conformemente all’articolo 72, paragrafo 2, di tale regolamento</w:t>
            </w:r>
            <w:r w:rsidRPr="0080402F">
              <w:rPr>
                <w:rFonts w:ascii="Times" w:eastAsia="Times New Roman" w:hAnsi="Times" w:cs="Times"/>
                <w:iCs/>
                <w:lang w:val="it-IT"/>
              </w:rPr>
              <w:t xml:space="preserve">; </w:t>
            </w:r>
          </w:p>
          <w:p w14:paraId="48545D51" w14:textId="77777777" w:rsidR="00E54B34" w:rsidRPr="0080402F" w:rsidRDefault="00E54B34" w:rsidP="00A745F9">
            <w:pPr>
              <w:pStyle w:val="Paragrafoelenco"/>
              <w:numPr>
                <w:ilvl w:val="1"/>
                <w:numId w:val="8"/>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è commisurata alla portata, alla natura e alla gamma dei servizi per le cripto-attività che il richiedente intende prestare e delle altre attività del gruppo a cui il richiedente appartiene;</w:t>
            </w:r>
          </w:p>
          <w:p w14:paraId="678CD4B9" w14:textId="77777777" w:rsidR="00E54B34" w:rsidRPr="006A2548" w:rsidRDefault="00E54B34" w:rsidP="00A745F9">
            <w:pPr>
              <w:pStyle w:val="Paragrafoelenco"/>
              <w:numPr>
                <w:ilvl w:val="1"/>
                <w:numId w:val="8"/>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garantisce che le politiche, le procedure e le disposizioni in materia di remunerazione non creino conflitti di interesse;</w:t>
            </w:r>
            <w:r w:rsidRPr="0080402F">
              <w:rPr>
                <w:rFonts w:ascii="Times" w:eastAsia="Times New Roman" w:hAnsi="Times" w:cs="Times"/>
                <w:iCs/>
                <w:lang w:val="it-IT"/>
              </w:rPr>
              <w:t xml:space="preserve"> </w:t>
            </w:r>
          </w:p>
        </w:tc>
        <w:tc>
          <w:tcPr>
            <w:tcW w:w="7513" w:type="dxa"/>
            <w:shd w:val="clear" w:color="auto" w:fill="FFFFFF" w:themeFill="background1"/>
          </w:tcPr>
          <w:p w14:paraId="758E4129" w14:textId="6EB8727E" w:rsidR="00E54B34" w:rsidRPr="004C7B67" w:rsidRDefault="00E54B34" w:rsidP="00A745F9">
            <w:pPr>
              <w:spacing w:after="0" w:line="240" w:lineRule="auto"/>
              <w:jc w:val="both"/>
              <w:rPr>
                <w:rFonts w:ascii="Times" w:eastAsia="Times New Roman" w:hAnsi="Times" w:cs="Times"/>
                <w:color w:val="000000" w:themeColor="text1"/>
                <w:sz w:val="20"/>
                <w:szCs w:val="20"/>
                <w:lang w:eastAsia="en-GB"/>
              </w:rPr>
            </w:pPr>
          </w:p>
        </w:tc>
      </w:tr>
      <w:tr w:rsidR="00E54B34" w:rsidRPr="008B23C0" w14:paraId="6DF9FE38" w14:textId="77777777" w:rsidTr="00E54B34">
        <w:trPr>
          <w:trHeight w:val="624"/>
        </w:trPr>
        <w:tc>
          <w:tcPr>
            <w:tcW w:w="2726" w:type="dxa"/>
            <w:vMerge/>
            <w:shd w:val="clear" w:color="auto" w:fill="F2F2F2" w:themeFill="background1" w:themeFillShade="F2"/>
            <w:vAlign w:val="center"/>
          </w:tcPr>
          <w:p w14:paraId="09581B5B" w14:textId="77777777" w:rsidR="00E54B34" w:rsidRPr="000F5074"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14B5154" w14:textId="77777777" w:rsidR="00E54B34" w:rsidRDefault="00E54B34" w:rsidP="00E54B34">
            <w:pPr>
              <w:pStyle w:val="Paragrafoelenco"/>
              <w:numPr>
                <w:ilvl w:val="0"/>
                <w:numId w:val="7"/>
              </w:numPr>
              <w:spacing w:after="0" w:line="240" w:lineRule="auto"/>
              <w:contextualSpacing w:val="0"/>
              <w:jc w:val="both"/>
              <w:rPr>
                <w:rFonts w:ascii="Times" w:eastAsia="Times New Roman" w:hAnsi="Times" w:cs="Times"/>
                <w:iCs/>
                <w:lang w:val="it-IT"/>
              </w:rPr>
            </w:pPr>
            <w:r w:rsidRPr="000545BB">
              <w:rPr>
                <w:rFonts w:ascii="Times" w:eastAsia="Times New Roman" w:hAnsi="Times" w:cs="Times"/>
                <w:iCs/>
                <w:lang w:val="it-IT"/>
              </w:rPr>
              <w:t xml:space="preserve">in che modo la politica del richiedente in materia di conflitti di interesse garantisce la conformità con il regolamento delegato della Commissione che stabilisce norme tecniche </w:t>
            </w:r>
            <w:r w:rsidRPr="00764710">
              <w:rPr>
                <w:rFonts w:ascii="Times" w:eastAsia="Times New Roman" w:hAnsi="Times" w:cs="Times"/>
                <w:iCs/>
                <w:lang w:val="it-IT"/>
              </w:rPr>
              <w:t>adottate a norma dell’articolo 72, paragrafo 5, del regolamento (UE) 2023/1114, comprese le informazioni sui sistemi e sulle modalità messi in atto dal richiedente per</w:t>
            </w:r>
            <w:r w:rsidRPr="005A3EFB">
              <w:rPr>
                <w:rFonts w:ascii="Times" w:eastAsia="Times New Roman" w:hAnsi="Times" w:cs="Times"/>
                <w:iCs/>
                <w:lang w:val="it-IT"/>
              </w:rPr>
              <w:t xml:space="preserve">: </w:t>
            </w:r>
          </w:p>
          <w:p w14:paraId="417BC321" w14:textId="77777777" w:rsidR="00E54B34" w:rsidRDefault="00E54B34" w:rsidP="00E54B34">
            <w:pPr>
              <w:pStyle w:val="Paragrafoelenco"/>
              <w:numPr>
                <w:ilvl w:val="0"/>
                <w:numId w:val="20"/>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monitorare, valutare, riesaminare l’efficacia della sua politica in materia di conflitti di interesse e porre rimedio a eventuali carenze</w:t>
            </w:r>
            <w:r w:rsidRPr="00301909">
              <w:rPr>
                <w:rFonts w:ascii="Times" w:eastAsia="Times New Roman" w:hAnsi="Times" w:cs="Times"/>
                <w:iCs/>
                <w:lang w:val="it-IT"/>
              </w:rPr>
              <w:t xml:space="preserve">; </w:t>
            </w:r>
          </w:p>
          <w:p w14:paraId="141E25B0" w14:textId="65EC1C3F" w:rsidR="00E54B34" w:rsidRPr="00E54B34" w:rsidRDefault="00E54B34" w:rsidP="00E54B34">
            <w:pPr>
              <w:pStyle w:val="Paragrafoelenco"/>
              <w:numPr>
                <w:ilvl w:val="0"/>
                <w:numId w:val="20"/>
              </w:numPr>
              <w:spacing w:after="0" w:line="240" w:lineRule="auto"/>
              <w:contextualSpacing w:val="0"/>
              <w:jc w:val="both"/>
              <w:rPr>
                <w:rFonts w:ascii="Times" w:eastAsia="Times New Roman" w:hAnsi="Times" w:cs="Times"/>
                <w:iCs/>
                <w:lang w:val="it-IT"/>
              </w:rPr>
            </w:pPr>
            <w:r w:rsidRPr="00764710">
              <w:rPr>
                <w:rFonts w:ascii="Times" w:eastAsia="Times New Roman" w:hAnsi="Times" w:cs="Times"/>
                <w:iCs/>
                <w:lang w:val="it-IT"/>
              </w:rPr>
              <w:t xml:space="preserve">registrare i casi di conflitti di interesse, compresi la relativa identificazione e </w:t>
            </w:r>
            <w:r w:rsidRPr="00764710">
              <w:rPr>
                <w:rFonts w:ascii="Times" w:eastAsia="Times New Roman" w:hAnsi="Times" w:cs="Times"/>
                <w:iCs/>
                <w:lang w:val="it-IT"/>
              </w:rPr>
              <w:lastRenderedPageBreak/>
              <w:t>valutazione, i rimedi adottati e se il caso è stato comunicato al cliente</w:t>
            </w:r>
            <w:r w:rsidRPr="00C745DD">
              <w:rPr>
                <w:rFonts w:ascii="Times" w:eastAsia="Times New Roman" w:hAnsi="Times" w:cs="Times"/>
                <w:iCs/>
                <w:lang w:val="it-IT"/>
              </w:rPr>
              <w:t xml:space="preserve">. </w:t>
            </w:r>
          </w:p>
        </w:tc>
        <w:tc>
          <w:tcPr>
            <w:tcW w:w="7513" w:type="dxa"/>
            <w:shd w:val="clear" w:color="auto" w:fill="FFFFFF" w:themeFill="background1"/>
          </w:tcPr>
          <w:p w14:paraId="63988A2E" w14:textId="350D3CD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010C97DF" w14:textId="77777777" w:rsidTr="00A745F9">
        <w:trPr>
          <w:trHeight w:val="482"/>
        </w:trPr>
        <w:tc>
          <w:tcPr>
            <w:tcW w:w="14879" w:type="dxa"/>
            <w:gridSpan w:val="3"/>
            <w:shd w:val="clear" w:color="auto" w:fill="2E74B5" w:themeFill="accent1" w:themeFillShade="BF"/>
            <w:vAlign w:val="center"/>
          </w:tcPr>
          <w:p w14:paraId="599D427D" w14:textId="77777777" w:rsidR="00E54B34" w:rsidRPr="00D456BD" w:rsidRDefault="00E54B34" w:rsidP="00E54B34">
            <w:pPr>
              <w:pStyle w:val="Paragrafoelenco"/>
              <w:numPr>
                <w:ilvl w:val="0"/>
                <w:numId w:val="30"/>
              </w:numPr>
              <w:spacing w:after="0" w:line="240" w:lineRule="auto"/>
              <w:jc w:val="both"/>
              <w:rPr>
                <w:rFonts w:ascii="Times" w:hAnsi="Times" w:cs="Times"/>
                <w:b/>
                <w:bCs/>
                <w:color w:val="FFFFFF" w:themeColor="background1"/>
              </w:rPr>
            </w:pPr>
            <w:r>
              <w:rPr>
                <w:rFonts w:ascii="Times" w:hAnsi="Times" w:cs="Times"/>
                <w:b/>
                <w:bCs/>
                <w:color w:val="FFFFFF" w:themeColor="background1"/>
              </w:rPr>
              <w:t xml:space="preserve">PIANO DI </w:t>
            </w:r>
            <w:r w:rsidRPr="00D456BD">
              <w:rPr>
                <w:rFonts w:ascii="Times" w:hAnsi="Times" w:cs="Times"/>
                <w:b/>
                <w:bCs/>
                <w:color w:val="FFFFFF" w:themeColor="background1"/>
              </w:rPr>
              <w:t xml:space="preserve">CONTINUITÀ </w:t>
            </w:r>
            <w:r>
              <w:rPr>
                <w:rFonts w:ascii="Times" w:hAnsi="Times" w:cs="Times"/>
                <w:b/>
                <w:bCs/>
                <w:color w:val="FFFFFF" w:themeColor="background1"/>
              </w:rPr>
              <w:t>OPERATIVA</w:t>
            </w:r>
          </w:p>
        </w:tc>
      </w:tr>
      <w:tr w:rsidR="00E54B34" w:rsidRPr="008B23C0" w14:paraId="385E1AA2" w14:textId="77777777" w:rsidTr="00111686">
        <w:trPr>
          <w:trHeight w:val="624"/>
        </w:trPr>
        <w:tc>
          <w:tcPr>
            <w:tcW w:w="7366" w:type="dxa"/>
            <w:gridSpan w:val="2"/>
            <w:shd w:val="clear" w:color="auto" w:fill="F2F2F2" w:themeFill="background1" w:themeFillShade="F2"/>
            <w:vAlign w:val="center"/>
          </w:tcPr>
          <w:p w14:paraId="5B2AED0C" w14:textId="77777777" w:rsidR="00E54B34" w:rsidRPr="00DC4790" w:rsidRDefault="00E54B34" w:rsidP="00E54B34">
            <w:pPr>
              <w:spacing w:after="0" w:line="240" w:lineRule="auto"/>
              <w:jc w:val="both"/>
              <w:rPr>
                <w:rFonts w:ascii="Times" w:eastAsia="Times New Roman" w:hAnsi="Times" w:cs="Times"/>
                <w:sz w:val="20"/>
                <w:szCs w:val="20"/>
                <w:lang w:eastAsia="en-GB"/>
              </w:rPr>
            </w:pPr>
            <w:r w:rsidRPr="00EE13C3">
              <w:rPr>
                <w:rFonts w:ascii="Times" w:eastAsia="Times New Roman" w:hAnsi="Times" w:cs="Times"/>
                <w:sz w:val="20"/>
                <w:szCs w:val="20"/>
                <w:lang w:eastAsia="en-GB"/>
              </w:rPr>
              <w:t xml:space="preserve">Ai </w:t>
            </w:r>
            <w:r>
              <w:rPr>
                <w:rFonts w:ascii="Times" w:eastAsia="Times New Roman" w:hAnsi="Times" w:cs="Times"/>
                <w:sz w:val="20"/>
                <w:szCs w:val="20"/>
                <w:lang w:eastAsia="en-GB"/>
              </w:rPr>
              <w:t>sensi</w:t>
            </w:r>
            <w:r w:rsidRPr="00EE13C3">
              <w:rPr>
                <w:rFonts w:ascii="Times" w:eastAsia="Times New Roman" w:hAnsi="Times" w:cs="Times"/>
                <w:sz w:val="20"/>
                <w:szCs w:val="20"/>
                <w:lang w:eastAsia="en-GB"/>
              </w:rPr>
              <w:t xml:space="preserve"> dell’articolo 62, paragrafo 2, lettera i), del regolamento (UE) 2023/1114</w:t>
            </w:r>
            <w:r>
              <w:rPr>
                <w:rFonts w:ascii="Times" w:eastAsia="Times New Roman" w:hAnsi="Times" w:cs="Times"/>
                <w:sz w:val="20"/>
                <w:szCs w:val="20"/>
                <w:lang w:eastAsia="en-GB"/>
              </w:rPr>
              <w:t xml:space="preserve"> e dell’articolo 5 del regolamento delegato (UE) della Commissione 2025/305</w:t>
            </w:r>
            <w:r w:rsidRPr="00EE13C3">
              <w:rPr>
                <w:rFonts w:ascii="Times" w:eastAsia="Times New Roman" w:hAnsi="Times" w:cs="Times"/>
                <w:sz w:val="20"/>
                <w:szCs w:val="20"/>
                <w:lang w:eastAsia="en-GB"/>
              </w:rPr>
              <w:t>, i richiedenti presentano all’autorità competente una descrizione dettagliata del piano di continuità operativa, comprese le misure da adottare per garantire la continuità e la regolarità della prestazione dei servizi per le cripto-attività del richiedente</w:t>
            </w:r>
            <w:r w:rsidRPr="00DC4790">
              <w:rPr>
                <w:rFonts w:ascii="Times" w:eastAsia="Times New Roman" w:hAnsi="Times" w:cs="Times"/>
                <w:sz w:val="20"/>
                <w:szCs w:val="20"/>
                <w:lang w:eastAsia="en-GB"/>
              </w:rPr>
              <w:t>.</w:t>
            </w:r>
          </w:p>
        </w:tc>
        <w:tc>
          <w:tcPr>
            <w:tcW w:w="7513" w:type="dxa"/>
            <w:shd w:val="clear" w:color="auto" w:fill="F2F2F2" w:themeFill="background1" w:themeFillShade="F2"/>
          </w:tcPr>
          <w:p w14:paraId="18D4D78E" w14:textId="77777777" w:rsidR="00E54B34" w:rsidRPr="00EE13C3" w:rsidRDefault="00E54B34" w:rsidP="00E54B34">
            <w:pPr>
              <w:tabs>
                <w:tab w:val="left" w:pos="142"/>
              </w:tabs>
              <w:spacing w:after="0" w:line="240" w:lineRule="auto"/>
              <w:jc w:val="both"/>
              <w:rPr>
                <w:rFonts w:ascii="Times New Roman" w:eastAsia="Times New Roman" w:hAnsi="Times New Roman" w:cs="Times New Roman"/>
                <w:i/>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5, suddividendole in paragrafi.</w:t>
            </w:r>
          </w:p>
        </w:tc>
      </w:tr>
      <w:tr w:rsidR="00E54B34" w:rsidRPr="008B23C0" w14:paraId="07C5276C" w14:textId="77777777" w:rsidTr="00E54B34">
        <w:trPr>
          <w:trHeight w:val="624"/>
        </w:trPr>
        <w:tc>
          <w:tcPr>
            <w:tcW w:w="2726" w:type="dxa"/>
            <w:shd w:val="clear" w:color="auto" w:fill="F2F2F2" w:themeFill="background1" w:themeFillShade="F2"/>
            <w:vAlign w:val="center"/>
          </w:tcPr>
          <w:p w14:paraId="0D308D99" w14:textId="77777777" w:rsidR="00E54B34" w:rsidRPr="00271315" w:rsidRDefault="00E54B34" w:rsidP="00E54B34">
            <w:pPr>
              <w:spacing w:after="0" w:line="240" w:lineRule="auto"/>
              <w:jc w:val="both"/>
              <w:rPr>
                <w:rFonts w:ascii="Times" w:hAnsi="Times" w:cs="Times"/>
                <w:b/>
                <w:bCs/>
                <w:sz w:val="20"/>
                <w:szCs w:val="20"/>
              </w:rPr>
            </w:pPr>
          </w:p>
          <w:p w14:paraId="1AB4EAC5" w14:textId="77777777" w:rsidR="00E54B34" w:rsidRPr="00DC4790" w:rsidRDefault="00E54B34" w:rsidP="00E54B34">
            <w:pPr>
              <w:spacing w:after="0" w:line="240" w:lineRule="auto"/>
              <w:jc w:val="both"/>
              <w:rPr>
                <w:rFonts w:ascii="Times" w:hAnsi="Times" w:cs="Times"/>
                <w:b/>
                <w:bCs/>
                <w:sz w:val="20"/>
                <w:szCs w:val="20"/>
              </w:rPr>
            </w:pPr>
            <w:r w:rsidRPr="00DC4790">
              <w:rPr>
                <w:rFonts w:ascii="Times" w:hAnsi="Times" w:cs="Times"/>
                <w:b/>
                <w:bCs/>
                <w:sz w:val="20"/>
                <w:szCs w:val="20"/>
              </w:rPr>
              <w:t xml:space="preserve">1. Piano di continuità operativa </w:t>
            </w:r>
          </w:p>
        </w:tc>
        <w:tc>
          <w:tcPr>
            <w:tcW w:w="4640" w:type="dxa"/>
            <w:shd w:val="clear" w:color="auto" w:fill="F2F2F2" w:themeFill="background1" w:themeFillShade="F2"/>
          </w:tcPr>
          <w:p w14:paraId="299F4648" w14:textId="77777777" w:rsidR="00E54B34" w:rsidRPr="00DC4790" w:rsidRDefault="00E54B34" w:rsidP="00E54B34">
            <w:pPr>
              <w:spacing w:after="0" w:line="240" w:lineRule="auto"/>
              <w:jc w:val="both"/>
              <w:rPr>
                <w:rFonts w:ascii="Times" w:eastAsia="Times New Roman" w:hAnsi="Times" w:cs="Times"/>
                <w:sz w:val="20"/>
                <w:szCs w:val="20"/>
                <w:lang w:eastAsia="en-GB"/>
              </w:rPr>
            </w:pPr>
            <w:r w:rsidRPr="00A86F30">
              <w:rPr>
                <w:rFonts w:ascii="Times" w:eastAsia="Times New Roman" w:hAnsi="Times" w:cs="Times"/>
                <w:sz w:val="20"/>
                <w:szCs w:val="20"/>
                <w:lang w:eastAsia="en-GB"/>
              </w:rPr>
              <w:t xml:space="preserve">La descrizione di cui </w:t>
            </w:r>
            <w:r>
              <w:rPr>
                <w:rFonts w:ascii="Times" w:eastAsia="Times New Roman" w:hAnsi="Times" w:cs="Times"/>
                <w:sz w:val="20"/>
                <w:szCs w:val="20"/>
                <w:lang w:eastAsia="en-GB"/>
              </w:rPr>
              <w:t>sopra</w:t>
            </w:r>
            <w:r w:rsidRPr="00A86F30">
              <w:rPr>
                <w:rFonts w:ascii="Times" w:eastAsia="Times New Roman" w:hAnsi="Times" w:cs="Times"/>
                <w:sz w:val="20"/>
                <w:szCs w:val="20"/>
                <w:lang w:eastAsia="en-GB"/>
              </w:rPr>
              <w:t xml:space="preserve"> include gli elementi seguenti</w:t>
            </w:r>
            <w:r w:rsidRPr="00DC4790">
              <w:rPr>
                <w:rFonts w:ascii="Times" w:eastAsia="Times New Roman" w:hAnsi="Times" w:cs="Times"/>
                <w:sz w:val="20"/>
                <w:szCs w:val="20"/>
                <w:lang w:eastAsia="en-GB"/>
              </w:rPr>
              <w:t xml:space="preserve">: </w:t>
            </w:r>
          </w:p>
          <w:p w14:paraId="5E581344" w14:textId="77777777" w:rsidR="00E54B34" w:rsidRPr="00DC4790" w:rsidRDefault="00E54B34" w:rsidP="00E54B34">
            <w:pPr>
              <w:spacing w:after="0" w:line="240" w:lineRule="auto"/>
              <w:jc w:val="both"/>
              <w:rPr>
                <w:rFonts w:ascii="Times" w:eastAsia="Times New Roman" w:hAnsi="Times" w:cs="Times"/>
                <w:sz w:val="20"/>
                <w:szCs w:val="20"/>
                <w:lang w:eastAsia="en-GB"/>
              </w:rPr>
            </w:pPr>
          </w:p>
          <w:p w14:paraId="73E8131B" w14:textId="77777777" w:rsidR="00E54B34" w:rsidRPr="00DC4790" w:rsidRDefault="00E54B34" w:rsidP="00E54B34">
            <w:pPr>
              <w:pStyle w:val="Paragrafoelenco"/>
              <w:numPr>
                <w:ilvl w:val="0"/>
                <w:numId w:val="18"/>
              </w:numPr>
              <w:spacing w:after="0" w:line="240" w:lineRule="auto"/>
              <w:contextualSpacing w:val="0"/>
              <w:jc w:val="both"/>
              <w:rPr>
                <w:rFonts w:ascii="Times" w:eastAsia="Times New Roman" w:hAnsi="Times" w:cs="Times"/>
                <w:lang w:val="it-IT"/>
              </w:rPr>
            </w:pPr>
            <w:r w:rsidRPr="00A86F30">
              <w:rPr>
                <w:rFonts w:ascii="Times" w:eastAsia="Times New Roman" w:hAnsi="Times" w:cs="Times"/>
                <w:lang w:val="it-IT"/>
              </w:rPr>
              <w:t>informazioni dettagliate che dimostrino che il piano di continuità operativa è adeguato e che sono state adottate disposizioni per mantenere e testare periodicamente tale piano</w:t>
            </w:r>
            <w:r w:rsidRPr="00DC4790">
              <w:rPr>
                <w:rFonts w:ascii="Times" w:eastAsia="Times New Roman" w:hAnsi="Times" w:cs="Times"/>
                <w:lang w:val="it-IT"/>
              </w:rPr>
              <w:t>;</w:t>
            </w:r>
          </w:p>
          <w:p w14:paraId="2931F93B" w14:textId="77777777" w:rsidR="00E54B34" w:rsidRPr="00DC4790" w:rsidRDefault="00E54B34" w:rsidP="00E54B34">
            <w:pPr>
              <w:pStyle w:val="Paragrafoelenco"/>
              <w:numPr>
                <w:ilvl w:val="0"/>
                <w:numId w:val="18"/>
              </w:numPr>
              <w:spacing w:after="0" w:line="240" w:lineRule="auto"/>
              <w:contextualSpacing w:val="0"/>
              <w:jc w:val="both"/>
              <w:rPr>
                <w:rFonts w:ascii="Times" w:eastAsia="Times New Roman" w:hAnsi="Times" w:cs="Times"/>
                <w:lang w:val="it-IT"/>
              </w:rPr>
            </w:pPr>
            <w:r w:rsidRPr="00A86F30">
              <w:rPr>
                <w:rFonts w:ascii="Times" w:eastAsia="Times New Roman" w:hAnsi="Times" w:cs="Times"/>
                <w:lang w:val="it-IT"/>
              </w:rPr>
              <w:t>per quanto riguarda le funzioni essenziali o importanti supportate da prestatori di servizi terzi, informazioni sul modo in cui è garantita la continuità operativa nel caso in cui la qualità della prestazione di tali funzioni peggiori a un livello inaccettabile o venga meno</w:t>
            </w:r>
            <w:r w:rsidRPr="00DC4790">
              <w:rPr>
                <w:rFonts w:ascii="Times" w:eastAsia="Times New Roman" w:hAnsi="Times" w:cs="Times"/>
                <w:lang w:val="it-IT"/>
              </w:rPr>
              <w:t>;</w:t>
            </w:r>
          </w:p>
          <w:p w14:paraId="7D33212D" w14:textId="77777777" w:rsidR="00E54B34" w:rsidRPr="00DC4790" w:rsidRDefault="00E54B34" w:rsidP="00E54B34">
            <w:pPr>
              <w:pStyle w:val="Paragrafoelenco"/>
              <w:numPr>
                <w:ilvl w:val="0"/>
                <w:numId w:val="18"/>
              </w:numPr>
              <w:spacing w:after="0" w:line="240" w:lineRule="auto"/>
              <w:contextualSpacing w:val="0"/>
              <w:jc w:val="both"/>
              <w:rPr>
                <w:rFonts w:ascii="Times" w:eastAsia="Times New Roman" w:hAnsi="Times" w:cs="Times"/>
                <w:lang w:val="it-IT"/>
              </w:rPr>
            </w:pPr>
            <w:r w:rsidRPr="007F59F1">
              <w:rPr>
                <w:rFonts w:ascii="Times" w:eastAsia="Times New Roman" w:hAnsi="Times" w:cs="Times"/>
                <w:lang w:val="it-IT"/>
              </w:rPr>
              <w:t>informazioni sul modo in cui è garantita la continuità operativa in caso di decesso di una persona chiave e, se del caso, sui rischi politici nella giurisdizione del prestatore di servizi</w:t>
            </w:r>
            <w:r w:rsidRPr="00DC4790">
              <w:rPr>
                <w:rFonts w:ascii="Times" w:eastAsia="Times New Roman" w:hAnsi="Times" w:cs="Times"/>
                <w:lang w:val="it-IT"/>
              </w:rPr>
              <w:t>.</w:t>
            </w:r>
          </w:p>
        </w:tc>
        <w:tc>
          <w:tcPr>
            <w:tcW w:w="7513" w:type="dxa"/>
            <w:shd w:val="clear" w:color="auto" w:fill="FFFFFF" w:themeFill="background1"/>
          </w:tcPr>
          <w:p w14:paraId="2D8CA5E6" w14:textId="5687CA2E" w:rsidR="00E54B34" w:rsidRPr="004C7B67" w:rsidRDefault="00E54B34" w:rsidP="004C7B67">
            <w:pPr>
              <w:spacing w:after="0" w:line="240" w:lineRule="auto"/>
              <w:jc w:val="both"/>
              <w:rPr>
                <w:rFonts w:ascii="Times" w:eastAsia="Times New Roman" w:hAnsi="Times" w:cs="Times"/>
                <w:color w:val="000000" w:themeColor="text1"/>
                <w:sz w:val="20"/>
                <w:szCs w:val="20"/>
                <w:lang w:eastAsia="en-GB"/>
              </w:rPr>
            </w:pPr>
          </w:p>
        </w:tc>
      </w:tr>
      <w:tr w:rsidR="00E54B34" w:rsidRPr="000F5074" w14:paraId="0110568A" w14:textId="77777777" w:rsidTr="00A745F9">
        <w:trPr>
          <w:trHeight w:val="482"/>
        </w:trPr>
        <w:tc>
          <w:tcPr>
            <w:tcW w:w="14879" w:type="dxa"/>
            <w:gridSpan w:val="3"/>
            <w:shd w:val="clear" w:color="auto" w:fill="2E74B5" w:themeFill="accent1" w:themeFillShade="BF"/>
            <w:vAlign w:val="center"/>
          </w:tcPr>
          <w:p w14:paraId="31861CEC" w14:textId="77777777" w:rsidR="00E54B34" w:rsidRPr="00D60834" w:rsidRDefault="00E54B34" w:rsidP="00E54B34">
            <w:pPr>
              <w:pStyle w:val="Paragrafoelenco"/>
              <w:numPr>
                <w:ilvl w:val="0"/>
                <w:numId w:val="30"/>
              </w:numPr>
              <w:spacing w:after="0" w:line="240" w:lineRule="auto"/>
              <w:jc w:val="both"/>
              <w:rPr>
                <w:rFonts w:ascii="Times" w:hAnsi="Times" w:cs="Times"/>
                <w:b/>
                <w:bCs/>
                <w:color w:val="FFFFFF" w:themeColor="background1"/>
                <w:lang w:val="it-IT"/>
              </w:rPr>
            </w:pPr>
            <w:r w:rsidRPr="00AE2E73">
              <w:rPr>
                <w:rFonts w:ascii="Times" w:hAnsi="Times" w:cs="Times"/>
                <w:b/>
                <w:bCs/>
                <w:color w:val="FFFFFF" w:themeColor="background1"/>
                <w:lang w:val="it-IT"/>
              </w:rPr>
              <w:t xml:space="preserve">INDIVIDUAZIONE E PREVENZIONE DEL RICICLAGGIO E DEL FINANZIAMENTO </w:t>
            </w:r>
            <w:r>
              <w:rPr>
                <w:rFonts w:ascii="Times" w:hAnsi="Times" w:cs="Times"/>
                <w:b/>
                <w:bCs/>
                <w:color w:val="FFFFFF" w:themeColor="background1"/>
                <w:lang w:val="it-IT"/>
              </w:rPr>
              <w:t>DEL</w:t>
            </w:r>
            <w:r w:rsidRPr="00AE2E73">
              <w:rPr>
                <w:rFonts w:ascii="Times" w:hAnsi="Times" w:cs="Times"/>
                <w:b/>
                <w:bCs/>
                <w:color w:val="FFFFFF" w:themeColor="background1"/>
                <w:lang w:val="it-IT"/>
              </w:rPr>
              <w:t xml:space="preserve"> TERRORISMO</w:t>
            </w:r>
          </w:p>
        </w:tc>
      </w:tr>
      <w:tr w:rsidR="00E54B34" w:rsidRPr="008B23C0" w14:paraId="61948DCD" w14:textId="77777777" w:rsidTr="00111686">
        <w:trPr>
          <w:trHeight w:val="397"/>
        </w:trPr>
        <w:tc>
          <w:tcPr>
            <w:tcW w:w="7366" w:type="dxa"/>
            <w:gridSpan w:val="2"/>
            <w:shd w:val="clear" w:color="auto" w:fill="F2F2F2" w:themeFill="background1" w:themeFillShade="F2"/>
            <w:vAlign w:val="center"/>
          </w:tcPr>
          <w:p w14:paraId="6AD4A693" w14:textId="77777777" w:rsidR="00E54B34" w:rsidRPr="000F5074" w:rsidRDefault="00E54B34" w:rsidP="00E54B34">
            <w:pPr>
              <w:spacing w:after="0" w:line="240" w:lineRule="auto"/>
              <w:jc w:val="both"/>
              <w:rPr>
                <w:rFonts w:ascii="Times" w:eastAsia="Times New Roman" w:hAnsi="Times" w:cs="Times"/>
                <w:iCs/>
                <w:sz w:val="20"/>
                <w:szCs w:val="20"/>
                <w:lang w:eastAsia="en-GB"/>
              </w:rPr>
            </w:pPr>
            <w:r w:rsidRPr="00EE13C3">
              <w:rPr>
                <w:rFonts w:ascii="Times" w:eastAsia="Times New Roman" w:hAnsi="Times" w:cs="Times"/>
                <w:iCs/>
                <w:sz w:val="20"/>
                <w:szCs w:val="20"/>
                <w:lang w:eastAsia="en-GB"/>
              </w:rPr>
              <w:t xml:space="preserve">Ai </w:t>
            </w:r>
            <w:r>
              <w:rPr>
                <w:rFonts w:ascii="Times" w:eastAsia="Times New Roman" w:hAnsi="Times" w:cs="Times"/>
                <w:iCs/>
                <w:sz w:val="20"/>
                <w:szCs w:val="20"/>
                <w:lang w:eastAsia="en-GB"/>
              </w:rPr>
              <w:t>sensi</w:t>
            </w:r>
            <w:r w:rsidRPr="00EE13C3">
              <w:rPr>
                <w:rFonts w:ascii="Times" w:eastAsia="Times New Roman" w:hAnsi="Times" w:cs="Times"/>
                <w:iCs/>
                <w:sz w:val="20"/>
                <w:szCs w:val="20"/>
                <w:lang w:eastAsia="en-GB"/>
              </w:rPr>
              <w:t xml:space="preserve"> dell’articolo 62, paragrafo 2, lettera i), del regolamento (UE) 2023/1114</w:t>
            </w:r>
            <w:r>
              <w:rPr>
                <w:rFonts w:ascii="Times" w:eastAsia="Times New Roman" w:hAnsi="Times" w:cs="Times"/>
                <w:iCs/>
                <w:sz w:val="20"/>
                <w:szCs w:val="20"/>
                <w:lang w:eastAsia="en-GB"/>
              </w:rPr>
              <w:t xml:space="preserve"> e dell’articolo 6 del regolamento delegato (UE) della Commissione 2025/305</w:t>
            </w:r>
            <w:r w:rsidRPr="00EE13C3">
              <w:rPr>
                <w:rFonts w:ascii="Times" w:eastAsia="Times New Roman" w:hAnsi="Times" w:cs="Times"/>
                <w:iCs/>
                <w:sz w:val="20"/>
                <w:szCs w:val="20"/>
                <w:lang w:eastAsia="en-GB"/>
              </w:rPr>
              <w:t xml:space="preserve">, i richiedenti forniscono all’autorità competente informazioni sui loro meccanismi di controllo interno, politiche e procedure volti a conformarsi alle disposizioni della legislazione nazionale di </w:t>
            </w:r>
            <w:r w:rsidRPr="00EE13C3">
              <w:rPr>
                <w:rFonts w:ascii="Times" w:eastAsia="Times New Roman" w:hAnsi="Times" w:cs="Times"/>
                <w:iCs/>
                <w:sz w:val="20"/>
                <w:szCs w:val="20"/>
                <w:lang w:eastAsia="en-GB"/>
              </w:rPr>
              <w:lastRenderedPageBreak/>
              <w:t>recepimento della direttiva (UE) 2015/849 e sul quadro di valutazione del rischio per la gestione dei rischi connessi al riciclaggio di denaro e al finanziamento del terrorismo, compresi tutti gli elementi seguenti:</w:t>
            </w:r>
          </w:p>
        </w:tc>
        <w:tc>
          <w:tcPr>
            <w:tcW w:w="7513" w:type="dxa"/>
            <w:shd w:val="clear" w:color="auto" w:fill="F2F2F2" w:themeFill="background1" w:themeFillShade="F2"/>
          </w:tcPr>
          <w:p w14:paraId="7B074950" w14:textId="77777777" w:rsidR="00E54B34" w:rsidRPr="00E313C3" w:rsidRDefault="00E54B34" w:rsidP="00E54B34">
            <w:pPr>
              <w:spacing w:after="0" w:line="240" w:lineRule="auto"/>
              <w:jc w:val="both"/>
              <w:rPr>
                <w:rFonts w:ascii="Times" w:eastAsia="Times New Roman" w:hAnsi="Times" w:cs="Times"/>
                <w:i/>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lastRenderedPageBreak/>
              <w:t>Le informazioni di dettaglio potranno essere fornite nell'Allegato 6, suddividendole in paragrafi.</w:t>
            </w:r>
          </w:p>
        </w:tc>
      </w:tr>
      <w:tr w:rsidR="00E54B34" w:rsidRPr="008B23C0" w14:paraId="1990D25A" w14:textId="77777777" w:rsidTr="00796739">
        <w:trPr>
          <w:trHeight w:val="624"/>
        </w:trPr>
        <w:tc>
          <w:tcPr>
            <w:tcW w:w="2726" w:type="dxa"/>
            <w:vMerge w:val="restart"/>
            <w:shd w:val="clear" w:color="auto" w:fill="F2F2F2" w:themeFill="background1" w:themeFillShade="F2"/>
            <w:vAlign w:val="center"/>
          </w:tcPr>
          <w:p w14:paraId="1B10E889" w14:textId="77777777" w:rsidR="00E54B34" w:rsidRPr="00670157" w:rsidRDefault="00E54B34" w:rsidP="00E54B34">
            <w:pPr>
              <w:spacing w:after="0" w:line="240" w:lineRule="auto"/>
              <w:jc w:val="both"/>
              <w:rPr>
                <w:rFonts w:ascii="Times" w:hAnsi="Times" w:cs="Times"/>
                <w:b/>
                <w:bCs/>
                <w:sz w:val="20"/>
                <w:szCs w:val="20"/>
              </w:rPr>
            </w:pPr>
            <w:r>
              <w:rPr>
                <w:rFonts w:ascii="Times" w:hAnsi="Times" w:cs="Times"/>
                <w:b/>
                <w:bCs/>
                <w:sz w:val="20"/>
                <w:szCs w:val="20"/>
              </w:rPr>
              <w:t xml:space="preserve">1. </w:t>
            </w:r>
            <w:r w:rsidRPr="000F5074">
              <w:rPr>
                <w:rFonts w:ascii="Times" w:hAnsi="Times" w:cs="Times"/>
                <w:b/>
                <w:bCs/>
                <w:sz w:val="20"/>
                <w:szCs w:val="20"/>
              </w:rPr>
              <w:t>Meccanismi interni</w:t>
            </w:r>
          </w:p>
        </w:tc>
        <w:tc>
          <w:tcPr>
            <w:tcW w:w="4640" w:type="dxa"/>
            <w:shd w:val="clear" w:color="auto" w:fill="F2F2F2" w:themeFill="background1" w:themeFillShade="F2"/>
          </w:tcPr>
          <w:p w14:paraId="72B59B4B" w14:textId="77777777" w:rsidR="00E54B34" w:rsidRPr="007855BF" w:rsidRDefault="00E54B34" w:rsidP="00E54B34">
            <w:pPr>
              <w:spacing w:after="0" w:line="240" w:lineRule="auto"/>
              <w:jc w:val="both"/>
              <w:rPr>
                <w:rFonts w:ascii="Times" w:hAnsi="Times" w:cs="Times"/>
                <w:iCs/>
                <w:sz w:val="20"/>
                <w:szCs w:val="20"/>
              </w:rPr>
            </w:pPr>
            <w:r w:rsidRPr="000F5074">
              <w:rPr>
                <w:rFonts w:ascii="Times" w:hAnsi="Times" w:cs="Times"/>
                <w:iCs/>
                <w:sz w:val="20"/>
                <w:szCs w:val="20"/>
              </w:rPr>
              <w:t xml:space="preserve">(a) </w:t>
            </w:r>
            <w:r w:rsidRPr="007855BF">
              <w:rPr>
                <w:rFonts w:ascii="Times" w:hAnsi="Times" w:cs="Times"/>
                <w:iCs/>
                <w:sz w:val="20"/>
                <w:szCs w:val="20"/>
              </w:rPr>
              <w:t>la valutazione, da parte del richiedente, dei rischi intrinseci e residui di riciclaggio di denaro e finanziamento del terrorismo associati alla sua attività, compresi i rischi relativi a quanto segue:</w:t>
            </w:r>
          </w:p>
          <w:p w14:paraId="3C13900C" w14:textId="77777777" w:rsidR="00E54B34" w:rsidRPr="00E313C3" w:rsidRDefault="00E54B34" w:rsidP="00E54B34">
            <w:pPr>
              <w:pStyle w:val="Paragrafoelenco"/>
              <w:numPr>
                <w:ilvl w:val="0"/>
                <w:numId w:val="37"/>
              </w:numPr>
              <w:spacing w:after="0" w:line="240" w:lineRule="auto"/>
              <w:jc w:val="both"/>
              <w:rPr>
                <w:rFonts w:ascii="Times" w:hAnsi="Times" w:cs="Times"/>
                <w:iCs/>
              </w:rPr>
            </w:pPr>
            <w:r w:rsidRPr="00E313C3">
              <w:rPr>
                <w:rFonts w:ascii="Times" w:hAnsi="Times" w:cs="Times"/>
                <w:iCs/>
                <w:lang w:val="it-IT"/>
              </w:rPr>
              <w:t>la clientela del richiedente;</w:t>
            </w:r>
          </w:p>
          <w:p w14:paraId="5589E351" w14:textId="77777777" w:rsidR="00E54B34" w:rsidRPr="00E313C3" w:rsidRDefault="00E54B34" w:rsidP="00E54B34">
            <w:pPr>
              <w:pStyle w:val="Paragrafoelenco"/>
              <w:numPr>
                <w:ilvl w:val="0"/>
                <w:numId w:val="37"/>
              </w:numPr>
              <w:spacing w:after="0" w:line="240" w:lineRule="auto"/>
              <w:jc w:val="both"/>
              <w:rPr>
                <w:rFonts w:ascii="Times" w:hAnsi="Times" w:cs="Times"/>
                <w:iCs/>
              </w:rPr>
            </w:pPr>
            <w:r w:rsidRPr="00E313C3">
              <w:rPr>
                <w:rFonts w:ascii="Times" w:hAnsi="Times" w:cs="Times"/>
                <w:iCs/>
                <w:lang w:val="it-IT"/>
              </w:rPr>
              <w:t>i servizi forniti,</w:t>
            </w:r>
          </w:p>
          <w:p w14:paraId="25E274CB" w14:textId="77777777" w:rsidR="00E54B34" w:rsidRPr="00E313C3" w:rsidRDefault="00E54B34" w:rsidP="00E54B34">
            <w:pPr>
              <w:pStyle w:val="Paragrafoelenco"/>
              <w:numPr>
                <w:ilvl w:val="0"/>
                <w:numId w:val="37"/>
              </w:numPr>
              <w:spacing w:after="0" w:line="240" w:lineRule="auto"/>
              <w:jc w:val="both"/>
              <w:rPr>
                <w:rFonts w:ascii="Times" w:hAnsi="Times" w:cs="Times"/>
                <w:iCs/>
                <w:lang w:val="it-IT"/>
              </w:rPr>
            </w:pPr>
            <w:r w:rsidRPr="00E313C3">
              <w:rPr>
                <w:rFonts w:ascii="Times" w:hAnsi="Times" w:cs="Times"/>
                <w:iCs/>
                <w:lang w:val="it-IT"/>
              </w:rPr>
              <w:t>i canali di distribuzione utilizzati;</w:t>
            </w:r>
          </w:p>
          <w:p w14:paraId="7BA74577" w14:textId="77777777" w:rsidR="00E54B34" w:rsidRPr="00EA14B6" w:rsidRDefault="00E54B34" w:rsidP="00E54B34">
            <w:pPr>
              <w:pStyle w:val="Paragrafoelenco"/>
              <w:numPr>
                <w:ilvl w:val="0"/>
                <w:numId w:val="37"/>
              </w:numPr>
              <w:spacing w:after="0" w:line="240" w:lineRule="auto"/>
              <w:jc w:val="both"/>
              <w:rPr>
                <w:rFonts w:ascii="Times" w:hAnsi="Times" w:cs="Times"/>
                <w:iCs/>
                <w:lang w:val="it-IT"/>
              </w:rPr>
            </w:pPr>
            <w:r w:rsidRPr="00E313C3">
              <w:rPr>
                <w:rFonts w:ascii="Times" w:hAnsi="Times" w:cs="Times"/>
                <w:iCs/>
                <w:lang w:val="it-IT"/>
              </w:rPr>
              <w:t>le aree geografiche di attività;</w:t>
            </w:r>
            <w:r w:rsidRPr="00EA14B6">
              <w:rPr>
                <w:rFonts w:ascii="Times" w:hAnsi="Times" w:cs="Times"/>
                <w:iCs/>
                <w:lang w:val="it-IT"/>
              </w:rPr>
              <w:t xml:space="preserve"> </w:t>
            </w:r>
          </w:p>
        </w:tc>
        <w:tc>
          <w:tcPr>
            <w:tcW w:w="7513" w:type="dxa"/>
            <w:shd w:val="clear" w:color="auto" w:fill="FFFFFF" w:themeFill="background1"/>
          </w:tcPr>
          <w:p w14:paraId="5B20EF7F"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6AD26D72" w14:textId="77777777" w:rsidTr="00796739">
        <w:trPr>
          <w:trHeight w:val="624"/>
        </w:trPr>
        <w:tc>
          <w:tcPr>
            <w:tcW w:w="2726" w:type="dxa"/>
            <w:vMerge/>
            <w:shd w:val="clear" w:color="auto" w:fill="F2F2F2" w:themeFill="background1" w:themeFillShade="F2"/>
            <w:vAlign w:val="center"/>
          </w:tcPr>
          <w:p w14:paraId="63E279CB"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2675C4F"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(b) </w:t>
            </w:r>
            <w:r w:rsidRPr="007855BF">
              <w:rPr>
                <w:rFonts w:ascii="Times" w:hAnsi="Times" w:cs="Times"/>
                <w:iCs/>
                <w:sz w:val="20"/>
                <w:szCs w:val="20"/>
              </w:rPr>
              <w:t>le misure che il richiedente ha adottato o adotterà per prevenire i rischi individuati e rispettare gli obblighi applicabili in materia di lotta al riciclaggio e al finanziamento del terrorismo, compresi il processo di valutazione del rischio del richiedente, le politiche e procedure per conformarsi agli obblighi di adeguata verifica della clientela e le politiche e procedure per individuare e segnalare operazioni o attività sospette</w:t>
            </w:r>
            <w:r>
              <w:rPr>
                <w:rFonts w:ascii="Times" w:hAnsi="Times" w:cs="Times"/>
                <w:iCs/>
                <w:sz w:val="20"/>
                <w:szCs w:val="20"/>
              </w:rPr>
              <w:t>;</w:t>
            </w:r>
          </w:p>
        </w:tc>
        <w:tc>
          <w:tcPr>
            <w:tcW w:w="7513" w:type="dxa"/>
            <w:shd w:val="clear" w:color="auto" w:fill="FFFFFF" w:themeFill="background1"/>
          </w:tcPr>
          <w:p w14:paraId="524CE3F7"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CB3FE89" w14:textId="77777777" w:rsidTr="00796739">
        <w:trPr>
          <w:trHeight w:val="624"/>
        </w:trPr>
        <w:tc>
          <w:tcPr>
            <w:tcW w:w="2726" w:type="dxa"/>
            <w:vMerge/>
            <w:shd w:val="clear" w:color="auto" w:fill="F2F2F2" w:themeFill="background1" w:themeFillShade="F2"/>
            <w:vAlign w:val="center"/>
          </w:tcPr>
          <w:p w14:paraId="25BDA2C8"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71A8993"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(c) </w:t>
            </w:r>
            <w:r w:rsidRPr="007855BF">
              <w:rPr>
                <w:rFonts w:ascii="Times" w:hAnsi="Times" w:cs="Times"/>
                <w:iCs/>
                <w:sz w:val="20"/>
                <w:szCs w:val="20"/>
              </w:rPr>
              <w:t>informazioni dettagliate sulla misura in cui tali meccanismi di controllo interno, politiche e procedure sono adeguati e proporzionati alla portata, alla natura e al rischio intrinseco di riciclaggio di denaro e finanziamento del terrorismo, alla gamma di servizi per le cripto-attività prestati e alla complessità del modello aziendale e sul modo in cui tali meccanismi, politiche e procedure garantiscono la conformità alla direttiva (UE) 2015/849 e al regolamento (UE) 2023/1113;</w:t>
            </w:r>
          </w:p>
        </w:tc>
        <w:tc>
          <w:tcPr>
            <w:tcW w:w="7513" w:type="dxa"/>
            <w:shd w:val="clear" w:color="auto" w:fill="FFFFFF" w:themeFill="background1"/>
          </w:tcPr>
          <w:p w14:paraId="501CD213" w14:textId="179FF344"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1C571C74" w14:textId="77777777" w:rsidTr="00796739">
        <w:trPr>
          <w:trHeight w:val="624"/>
        </w:trPr>
        <w:tc>
          <w:tcPr>
            <w:tcW w:w="2726" w:type="dxa"/>
            <w:vMerge/>
            <w:shd w:val="clear" w:color="auto" w:fill="F2F2F2" w:themeFill="background1" w:themeFillShade="F2"/>
            <w:vAlign w:val="center"/>
          </w:tcPr>
          <w:p w14:paraId="2038D398"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F1A3194"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(d) </w:t>
            </w:r>
            <w:r w:rsidRPr="007855BF">
              <w:rPr>
                <w:rFonts w:ascii="Times" w:hAnsi="Times" w:cs="Times"/>
                <w:iCs/>
                <w:sz w:val="20"/>
                <w:szCs w:val="20"/>
              </w:rPr>
              <w:t>l’identità della persona incaricata di garantire il rispetto degli obblighi in materia di lotta al riciclaggio e al finanziamento del terrorismo e la prova delle sue conoscenze, competenze ed esperienza</w:t>
            </w:r>
            <w:r w:rsidRPr="000F5074">
              <w:rPr>
                <w:rFonts w:ascii="Times" w:hAnsi="Times" w:cs="Times"/>
                <w:iCs/>
                <w:sz w:val="20"/>
                <w:szCs w:val="20"/>
              </w:rPr>
              <w:t>;</w:t>
            </w:r>
          </w:p>
        </w:tc>
        <w:tc>
          <w:tcPr>
            <w:tcW w:w="7513" w:type="dxa"/>
            <w:shd w:val="clear" w:color="auto" w:fill="FFFFFF" w:themeFill="background1"/>
          </w:tcPr>
          <w:p w14:paraId="6AECDFEB"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5AB66393" w14:textId="77777777" w:rsidTr="00796739">
        <w:trPr>
          <w:trHeight w:val="624"/>
        </w:trPr>
        <w:tc>
          <w:tcPr>
            <w:tcW w:w="2726" w:type="dxa"/>
            <w:vMerge/>
            <w:shd w:val="clear" w:color="auto" w:fill="F2F2F2" w:themeFill="background1" w:themeFillShade="F2"/>
            <w:vAlign w:val="center"/>
          </w:tcPr>
          <w:p w14:paraId="54EB5F23"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4ADA91D"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5A3EFB">
              <w:rPr>
                <w:rFonts w:ascii="Times" w:hAnsi="Times" w:cs="Times"/>
                <w:iCs/>
                <w:sz w:val="20"/>
                <w:szCs w:val="20"/>
              </w:rPr>
              <w:t xml:space="preserve">(e) </w:t>
            </w:r>
            <w:r w:rsidRPr="0038289F">
              <w:rPr>
                <w:rFonts w:ascii="Times" w:hAnsi="Times" w:cs="Times"/>
                <w:iCs/>
                <w:sz w:val="20"/>
                <w:szCs w:val="20"/>
              </w:rPr>
              <w:t>le disposizioni e le risorse umane e finanziarie che garantiscono che il personale del richiedente sia adeguatamente formato in materia di lotta al riciclaggio e al finanziamento del terrorismo (indicazioni annuali) e su specifici rischi connessi alle cripto-attività</w:t>
            </w:r>
            <w:r w:rsidRPr="005A3EFB">
              <w:rPr>
                <w:rFonts w:ascii="Times" w:hAnsi="Times" w:cs="Times"/>
                <w:iCs/>
                <w:sz w:val="20"/>
                <w:szCs w:val="20"/>
              </w:rPr>
              <w:t>;</w:t>
            </w:r>
          </w:p>
        </w:tc>
        <w:tc>
          <w:tcPr>
            <w:tcW w:w="7513" w:type="dxa"/>
            <w:shd w:val="clear" w:color="auto" w:fill="FFFFFF" w:themeFill="background1"/>
          </w:tcPr>
          <w:p w14:paraId="753DB0D9" w14:textId="3B1F1A25"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1435157A" w14:textId="77777777" w:rsidTr="00796739">
        <w:trPr>
          <w:trHeight w:val="624"/>
        </w:trPr>
        <w:tc>
          <w:tcPr>
            <w:tcW w:w="2726" w:type="dxa"/>
            <w:vMerge/>
            <w:shd w:val="clear" w:color="auto" w:fill="F2F2F2" w:themeFill="background1" w:themeFillShade="F2"/>
            <w:vAlign w:val="center"/>
          </w:tcPr>
          <w:p w14:paraId="2216EA3A"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4247528"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5A3EFB">
              <w:rPr>
                <w:rFonts w:ascii="Times" w:hAnsi="Times" w:cs="Times"/>
                <w:iCs/>
                <w:sz w:val="20"/>
                <w:szCs w:val="20"/>
              </w:rPr>
              <w:t xml:space="preserve">(f) </w:t>
            </w:r>
            <w:r w:rsidRPr="0038289F">
              <w:rPr>
                <w:rFonts w:ascii="Times" w:hAnsi="Times" w:cs="Times"/>
                <w:iCs/>
                <w:sz w:val="20"/>
                <w:szCs w:val="20"/>
              </w:rPr>
              <w:t>una copia delle politiche, delle procedure e dei sistemi del richiedente per la lotta al riciclaggio e al finanziamento del terrorismo;</w:t>
            </w:r>
            <w:r w:rsidRPr="005A3EFB">
              <w:rPr>
                <w:rFonts w:ascii="Times" w:hAnsi="Times" w:cs="Times"/>
                <w:iCs/>
                <w:sz w:val="20"/>
                <w:szCs w:val="20"/>
              </w:rPr>
              <w:t xml:space="preserve"> </w:t>
            </w:r>
          </w:p>
        </w:tc>
        <w:tc>
          <w:tcPr>
            <w:tcW w:w="7513" w:type="dxa"/>
            <w:shd w:val="clear" w:color="auto" w:fill="FFFFFF" w:themeFill="background1"/>
          </w:tcPr>
          <w:p w14:paraId="65AF6150" w14:textId="333ADE8D"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E3847BD" w14:textId="77777777" w:rsidTr="00796739">
        <w:trPr>
          <w:trHeight w:val="624"/>
        </w:trPr>
        <w:tc>
          <w:tcPr>
            <w:tcW w:w="2726" w:type="dxa"/>
            <w:vMerge/>
            <w:shd w:val="clear" w:color="auto" w:fill="F2F2F2" w:themeFill="background1" w:themeFillShade="F2"/>
            <w:vAlign w:val="center"/>
          </w:tcPr>
          <w:p w14:paraId="5385B3E0"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B5267F3" w14:textId="77777777" w:rsidR="00E54B34" w:rsidRPr="000F5074" w:rsidRDefault="00E54B34" w:rsidP="00E54B34">
            <w:pPr>
              <w:spacing w:after="0" w:line="240" w:lineRule="auto"/>
              <w:jc w:val="both"/>
              <w:rPr>
                <w:rFonts w:ascii="Times" w:hAnsi="Times" w:cs="Times"/>
                <w:iCs/>
                <w:sz w:val="20"/>
                <w:szCs w:val="20"/>
              </w:rPr>
            </w:pPr>
            <w:r w:rsidRPr="000F5074">
              <w:rPr>
                <w:rFonts w:ascii="Times" w:hAnsi="Times" w:cs="Times"/>
                <w:iCs/>
                <w:sz w:val="20"/>
                <w:szCs w:val="20"/>
              </w:rPr>
              <w:t xml:space="preserve">(g) </w:t>
            </w:r>
            <w:r w:rsidRPr="0038289F">
              <w:rPr>
                <w:rFonts w:ascii="Times" w:hAnsi="Times" w:cs="Times"/>
                <w:iCs/>
                <w:sz w:val="20"/>
                <w:szCs w:val="20"/>
              </w:rPr>
              <w:t>la frequenza della valutazione dell’adeguatezza e dell’efficacia di tali meccanismi di controllo interno, politiche e procedure e la persona o la funzione responsabile di tale valutazione</w:t>
            </w:r>
            <w:r w:rsidRPr="000F5074">
              <w:rPr>
                <w:rFonts w:ascii="Times" w:hAnsi="Times" w:cs="Times"/>
                <w:iCs/>
                <w:sz w:val="20"/>
                <w:szCs w:val="20"/>
              </w:rPr>
              <w:t>;</w:t>
            </w:r>
          </w:p>
          <w:p w14:paraId="336AAB5F"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p>
        </w:tc>
        <w:tc>
          <w:tcPr>
            <w:tcW w:w="7513" w:type="dxa"/>
            <w:shd w:val="clear" w:color="auto" w:fill="FFFFFF" w:themeFill="background1"/>
          </w:tcPr>
          <w:p w14:paraId="48E46D0C"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380EFA74" w14:textId="77777777" w:rsidTr="00A745F9">
        <w:trPr>
          <w:trHeight w:val="482"/>
        </w:trPr>
        <w:tc>
          <w:tcPr>
            <w:tcW w:w="14879" w:type="dxa"/>
            <w:gridSpan w:val="3"/>
            <w:shd w:val="clear" w:color="auto" w:fill="2E74B5" w:themeFill="accent1" w:themeFillShade="BF"/>
            <w:vAlign w:val="center"/>
          </w:tcPr>
          <w:p w14:paraId="50250A75" w14:textId="77777777" w:rsidR="00E54B34" w:rsidRPr="00D60834" w:rsidRDefault="00E54B34" w:rsidP="00E54B34">
            <w:pPr>
              <w:pStyle w:val="Paragrafoelenco"/>
              <w:numPr>
                <w:ilvl w:val="0"/>
                <w:numId w:val="30"/>
              </w:numPr>
              <w:spacing w:after="0" w:line="240" w:lineRule="auto"/>
              <w:jc w:val="both"/>
              <w:rPr>
                <w:rFonts w:ascii="Times" w:eastAsia="Times New Roman" w:hAnsi="Times" w:cs="Times"/>
                <w:b/>
                <w:bCs/>
                <w:lang w:val="it-IT"/>
              </w:rPr>
            </w:pPr>
            <w:r w:rsidRPr="00D456BD">
              <w:rPr>
                <w:rFonts w:ascii="Times" w:eastAsia="Times New Roman" w:hAnsi="Times" w:cs="Times"/>
                <w:b/>
                <w:bCs/>
                <w:color w:val="FFFFFF" w:themeColor="background1"/>
                <w:lang w:val="it-IT"/>
              </w:rPr>
              <w:t>REQUISITI DEI MEMBRI DELL’ORGANO DI AMMINISTRAZIONE</w:t>
            </w:r>
          </w:p>
        </w:tc>
      </w:tr>
      <w:tr w:rsidR="00E54B34" w:rsidRPr="000F5074" w14:paraId="092D5467" w14:textId="77777777" w:rsidTr="00A745F9">
        <w:trPr>
          <w:trHeight w:val="340"/>
        </w:trPr>
        <w:tc>
          <w:tcPr>
            <w:tcW w:w="14879" w:type="dxa"/>
            <w:gridSpan w:val="3"/>
            <w:shd w:val="clear" w:color="auto" w:fill="8496B0" w:themeFill="text2" w:themeFillTint="99"/>
            <w:vAlign w:val="center"/>
          </w:tcPr>
          <w:p w14:paraId="31AB06B6" w14:textId="77777777" w:rsidR="00E54B34" w:rsidRPr="000F5074" w:rsidRDefault="00E54B34" w:rsidP="00E54B34">
            <w:pPr>
              <w:spacing w:after="0" w:line="240" w:lineRule="auto"/>
              <w:jc w:val="both"/>
              <w:rPr>
                <w:rFonts w:ascii="Times" w:eastAsia="Times New Roman" w:hAnsi="Times" w:cs="Times"/>
                <w:b/>
                <w:bCs/>
                <w:color w:val="FFFFFF" w:themeColor="background1"/>
                <w:sz w:val="20"/>
                <w:szCs w:val="20"/>
                <w:lang w:eastAsia="en-GB"/>
              </w:rPr>
            </w:pPr>
            <w:r w:rsidRPr="000F5074">
              <w:rPr>
                <w:rFonts w:ascii="Times" w:eastAsia="Times New Roman" w:hAnsi="Times" w:cs="Times"/>
                <w:b/>
                <w:bCs/>
                <w:color w:val="FFFFFF" w:themeColor="background1"/>
                <w:sz w:val="20"/>
                <w:szCs w:val="20"/>
                <w:lang w:eastAsia="en-GB"/>
              </w:rPr>
              <w:t xml:space="preserve">Identità e prova di onorabilità, conoscenza, </w:t>
            </w:r>
            <w:r>
              <w:rPr>
                <w:rFonts w:ascii="Times" w:eastAsia="Times New Roman" w:hAnsi="Times" w:cs="Times"/>
                <w:b/>
                <w:bCs/>
                <w:color w:val="FFFFFF" w:themeColor="background1"/>
                <w:sz w:val="20"/>
                <w:szCs w:val="20"/>
                <w:lang w:eastAsia="en-GB"/>
              </w:rPr>
              <w:t>competenza</w:t>
            </w:r>
            <w:r w:rsidRPr="000F5074">
              <w:rPr>
                <w:rFonts w:ascii="Times" w:eastAsia="Times New Roman" w:hAnsi="Times" w:cs="Times"/>
                <w:b/>
                <w:bCs/>
                <w:color w:val="FFFFFF" w:themeColor="background1"/>
                <w:sz w:val="20"/>
                <w:szCs w:val="20"/>
                <w:lang w:eastAsia="en-GB"/>
              </w:rPr>
              <w:t>, esperienza e sufficiente impegno temporale dei membri dell'</w:t>
            </w:r>
            <w:r>
              <w:rPr>
                <w:rFonts w:ascii="Times" w:eastAsia="Times New Roman" w:hAnsi="Times" w:cs="Times"/>
                <w:b/>
                <w:bCs/>
                <w:color w:val="FFFFFF" w:themeColor="background1"/>
                <w:sz w:val="20"/>
                <w:szCs w:val="20"/>
                <w:lang w:eastAsia="en-GB"/>
              </w:rPr>
              <w:t>organo di amministrazione</w:t>
            </w:r>
          </w:p>
        </w:tc>
      </w:tr>
      <w:tr w:rsidR="00E54B34" w:rsidRPr="008B23C0" w14:paraId="43D6E09A" w14:textId="77777777" w:rsidTr="00A745F9">
        <w:trPr>
          <w:trHeight w:val="340"/>
        </w:trPr>
        <w:tc>
          <w:tcPr>
            <w:tcW w:w="14879" w:type="dxa"/>
            <w:gridSpan w:val="3"/>
            <w:shd w:val="clear" w:color="auto" w:fill="F2F2F2" w:themeFill="background1" w:themeFillShade="F2"/>
            <w:vAlign w:val="center"/>
          </w:tcPr>
          <w:p w14:paraId="1BF3227A" w14:textId="46E4E36D" w:rsidR="00627407" w:rsidRPr="00EE13C3" w:rsidRDefault="00627407" w:rsidP="00627407">
            <w:pPr>
              <w:spacing w:after="0" w:line="240" w:lineRule="auto"/>
              <w:jc w:val="both"/>
              <w:rPr>
                <w:rFonts w:ascii="Times New Roman" w:eastAsia="Times New Roman" w:hAnsi="Times New Roman" w:cs="Times New Roman"/>
                <w:i/>
                <w:sz w:val="20"/>
                <w:szCs w:val="20"/>
                <w:lang w:eastAsia="en-GB"/>
              </w:rPr>
            </w:pPr>
            <w:r w:rsidRPr="00657B27">
              <w:rPr>
                <w:rFonts w:ascii="Times New Roman" w:eastAsia="Times New Roman" w:hAnsi="Times New Roman" w:cs="Times New Roman"/>
                <w:i/>
                <w:sz w:val="20"/>
                <w:szCs w:val="20"/>
                <w:lang w:eastAsia="en-GB"/>
              </w:rPr>
              <w:t xml:space="preserve">Il </w:t>
            </w:r>
            <w:proofErr w:type="spellStart"/>
            <w:r w:rsidRPr="00657B27">
              <w:rPr>
                <w:rFonts w:ascii="Times New Roman" w:eastAsia="Times New Roman" w:hAnsi="Times New Roman" w:cs="Times New Roman"/>
                <w:i/>
                <w:sz w:val="20"/>
                <w:szCs w:val="20"/>
                <w:lang w:eastAsia="en-GB"/>
              </w:rPr>
              <w:t>MiCAR</w:t>
            </w:r>
            <w:proofErr w:type="spellEnd"/>
            <w:r w:rsidRPr="00657B27">
              <w:rPr>
                <w:rFonts w:ascii="Times New Roman" w:eastAsia="Times New Roman" w:hAnsi="Times New Roman" w:cs="Times New Roman"/>
                <w:i/>
                <w:sz w:val="20"/>
                <w:szCs w:val="20"/>
                <w:lang w:eastAsia="en-GB"/>
              </w:rPr>
              <w:t xml:space="preserve"> prevede che i membri dell’organo di amministrazione possiedano sufficienti requisiti di onorabilità e le conoscenze, le competenze e l’esperienza necessarie per </w:t>
            </w:r>
            <w:r>
              <w:rPr>
                <w:rFonts w:ascii="Times New Roman" w:eastAsia="Times New Roman" w:hAnsi="Times New Roman" w:cs="Times New Roman"/>
                <w:i/>
                <w:sz w:val="20"/>
                <w:szCs w:val="20"/>
                <w:lang w:eastAsia="en-GB"/>
              </w:rPr>
              <w:t xml:space="preserve"> </w:t>
            </w:r>
            <w:r w:rsidRPr="00657B27">
              <w:rPr>
                <w:rFonts w:ascii="Times New Roman" w:eastAsia="Times New Roman" w:hAnsi="Times New Roman" w:cs="Times New Roman"/>
                <w:i/>
                <w:sz w:val="20"/>
                <w:szCs w:val="20"/>
                <w:lang w:eastAsia="en-GB"/>
              </w:rPr>
              <w:t xml:space="preserve">amministrare il CASP, siano tenuti a dedicare un tempo sufficiente all’esercizio delle </w:t>
            </w:r>
            <w:r>
              <w:rPr>
                <w:rFonts w:ascii="Times New Roman" w:eastAsia="Times New Roman" w:hAnsi="Times New Roman" w:cs="Times New Roman"/>
                <w:i/>
                <w:sz w:val="20"/>
                <w:szCs w:val="20"/>
                <w:lang w:eastAsia="en-GB"/>
              </w:rPr>
              <w:t xml:space="preserve"> </w:t>
            </w:r>
            <w:r w:rsidRPr="00657B27">
              <w:rPr>
                <w:rFonts w:ascii="Times New Roman" w:eastAsia="Times New Roman" w:hAnsi="Times New Roman" w:cs="Times New Roman"/>
                <w:i/>
                <w:sz w:val="20"/>
                <w:szCs w:val="20"/>
                <w:lang w:eastAsia="en-GB"/>
              </w:rPr>
              <w:t xml:space="preserve">loro funzioni e non abbiano precedenti penali relativi a violazioni di norme nazionali nei settori del diritto </w:t>
            </w:r>
            <w:r>
              <w:rPr>
                <w:rFonts w:ascii="Times New Roman" w:eastAsia="Times New Roman" w:hAnsi="Times New Roman" w:cs="Times New Roman"/>
                <w:i/>
                <w:sz w:val="20"/>
                <w:szCs w:val="20"/>
                <w:lang w:eastAsia="en-GB"/>
              </w:rPr>
              <w:t xml:space="preserve"> </w:t>
            </w:r>
            <w:r w:rsidRPr="00657B27">
              <w:rPr>
                <w:rFonts w:ascii="Times New Roman" w:eastAsia="Times New Roman" w:hAnsi="Times New Roman" w:cs="Times New Roman"/>
                <w:i/>
                <w:sz w:val="20"/>
                <w:szCs w:val="20"/>
                <w:lang w:eastAsia="en-GB"/>
              </w:rPr>
              <w:t xml:space="preserve">commerciale, del diritto fallimentare, del diritto sui servizi finanziari, della normativa antiriciclaggio, o della </w:t>
            </w:r>
            <w:r>
              <w:rPr>
                <w:rFonts w:ascii="Times New Roman" w:eastAsia="Times New Roman" w:hAnsi="Times New Roman" w:cs="Times New Roman"/>
                <w:i/>
                <w:sz w:val="20"/>
                <w:szCs w:val="20"/>
                <w:lang w:eastAsia="en-GB"/>
              </w:rPr>
              <w:t xml:space="preserve"> </w:t>
            </w:r>
            <w:r w:rsidRPr="00657B27">
              <w:rPr>
                <w:rFonts w:ascii="Times New Roman" w:eastAsia="Times New Roman" w:hAnsi="Times New Roman" w:cs="Times New Roman"/>
                <w:i/>
                <w:sz w:val="20"/>
                <w:szCs w:val="20"/>
                <w:lang w:eastAsia="en-GB"/>
              </w:rPr>
              <w:t xml:space="preserve">normativa antifrode o degli obblighi in materia di responsabilità </w:t>
            </w:r>
            <w:proofErr w:type="spellStart"/>
            <w:r w:rsidRPr="00657B27">
              <w:rPr>
                <w:rFonts w:ascii="Times New Roman" w:eastAsia="Times New Roman" w:hAnsi="Times New Roman" w:cs="Times New Roman"/>
                <w:i/>
                <w:sz w:val="20"/>
                <w:szCs w:val="20"/>
                <w:lang w:eastAsia="en-GB"/>
              </w:rPr>
              <w:t>professionale.</w:t>
            </w:r>
            <w:r w:rsidRPr="00EE13C3">
              <w:rPr>
                <w:rFonts w:ascii="Times New Roman" w:eastAsia="Times New Roman" w:hAnsi="Times New Roman" w:cs="Times New Roman"/>
                <w:i/>
                <w:sz w:val="20"/>
                <w:szCs w:val="20"/>
                <w:lang w:eastAsia="en-GB"/>
              </w:rPr>
              <w:t>La</w:t>
            </w:r>
            <w:proofErr w:type="spellEnd"/>
            <w:r w:rsidRPr="00EE13C3">
              <w:rPr>
                <w:rFonts w:ascii="Times New Roman" w:eastAsia="Times New Roman" w:hAnsi="Times New Roman" w:cs="Times New Roman"/>
                <w:i/>
                <w:sz w:val="20"/>
                <w:szCs w:val="20"/>
                <w:lang w:eastAsia="en-GB"/>
              </w:rPr>
              <w:t xml:space="preserve"> verifica dei requisiti sui membri dell’organo amministrativo deve essere effettuata ai sensi del Regolamento </w:t>
            </w:r>
            <w:proofErr w:type="spellStart"/>
            <w:r w:rsidRPr="00EE13C3">
              <w:rPr>
                <w:rFonts w:ascii="Times New Roman" w:eastAsia="Times New Roman" w:hAnsi="Times New Roman" w:cs="Times New Roman"/>
                <w:i/>
                <w:sz w:val="20"/>
                <w:szCs w:val="20"/>
                <w:lang w:eastAsia="en-GB"/>
              </w:rPr>
              <w:t>MiCA</w:t>
            </w:r>
            <w:proofErr w:type="spellEnd"/>
            <w:r w:rsidRPr="00EE13C3">
              <w:rPr>
                <w:rFonts w:ascii="Times New Roman" w:eastAsia="Times New Roman" w:hAnsi="Times New Roman" w:cs="Times New Roman"/>
                <w:i/>
                <w:sz w:val="20"/>
                <w:szCs w:val="20"/>
                <w:lang w:eastAsia="en-GB"/>
              </w:rPr>
              <w:t xml:space="preserve">, degli RTS ESMA under art. 62(5) </w:t>
            </w:r>
            <w:proofErr w:type="spellStart"/>
            <w:r w:rsidRPr="00EE13C3">
              <w:rPr>
                <w:rFonts w:ascii="Times New Roman" w:eastAsia="Times New Roman" w:hAnsi="Times New Roman" w:cs="Times New Roman"/>
                <w:i/>
                <w:sz w:val="20"/>
                <w:szCs w:val="20"/>
                <w:lang w:eastAsia="en-GB"/>
              </w:rPr>
              <w:t>MiCAR</w:t>
            </w:r>
            <w:proofErr w:type="spellEnd"/>
            <w:r w:rsidRPr="00EE13C3">
              <w:rPr>
                <w:rFonts w:ascii="Times New Roman" w:eastAsia="Times New Roman" w:hAnsi="Times New Roman" w:cs="Times New Roman"/>
                <w:i/>
                <w:sz w:val="20"/>
                <w:szCs w:val="20"/>
                <w:lang w:eastAsia="en-GB"/>
              </w:rPr>
              <w:t xml:space="preserve"> (art. 7) e delle Joint </w:t>
            </w:r>
            <w:proofErr w:type="spellStart"/>
            <w:r w:rsidRPr="00EE13C3">
              <w:rPr>
                <w:rFonts w:ascii="Times New Roman" w:eastAsia="Times New Roman" w:hAnsi="Times New Roman" w:cs="Times New Roman"/>
                <w:i/>
                <w:sz w:val="20"/>
                <w:szCs w:val="20"/>
                <w:lang w:eastAsia="en-GB"/>
              </w:rPr>
              <w:t>GLs</w:t>
            </w:r>
            <w:proofErr w:type="spellEnd"/>
            <w:r w:rsidRPr="00EE13C3">
              <w:rPr>
                <w:rFonts w:ascii="Times New Roman" w:eastAsia="Times New Roman" w:hAnsi="Times New Roman" w:cs="Times New Roman"/>
                <w:i/>
                <w:sz w:val="20"/>
                <w:szCs w:val="20"/>
                <w:lang w:eastAsia="en-GB"/>
              </w:rPr>
              <w:t xml:space="preserve"> on the </w:t>
            </w:r>
            <w:proofErr w:type="spellStart"/>
            <w:r w:rsidRPr="00EA14B6">
              <w:rPr>
                <w:rFonts w:ascii="Times New Roman" w:eastAsia="Times New Roman" w:hAnsi="Times New Roman" w:cs="Times New Roman"/>
                <w:i/>
                <w:sz w:val="20"/>
                <w:szCs w:val="20"/>
                <w:lang w:eastAsia="en-GB"/>
              </w:rPr>
              <w:t>suitability</w:t>
            </w:r>
            <w:proofErr w:type="spellEnd"/>
            <w:r w:rsidRPr="00EA14B6">
              <w:rPr>
                <w:rFonts w:ascii="Times New Roman" w:eastAsia="Times New Roman" w:hAnsi="Times New Roman" w:cs="Times New Roman"/>
                <w:i/>
                <w:sz w:val="20"/>
                <w:szCs w:val="20"/>
                <w:lang w:eastAsia="en-GB"/>
              </w:rPr>
              <w:t xml:space="preserve"> </w:t>
            </w:r>
            <w:proofErr w:type="spellStart"/>
            <w:r w:rsidRPr="00EA14B6">
              <w:rPr>
                <w:rFonts w:ascii="Times New Roman" w:eastAsia="Times New Roman" w:hAnsi="Times New Roman" w:cs="Times New Roman"/>
                <w:i/>
                <w:sz w:val="20"/>
                <w:szCs w:val="20"/>
                <w:lang w:eastAsia="en-GB"/>
              </w:rPr>
              <w:t>assessment</w:t>
            </w:r>
            <w:proofErr w:type="spellEnd"/>
            <w:r w:rsidRPr="00EA14B6">
              <w:rPr>
                <w:rFonts w:ascii="Times New Roman" w:eastAsia="Times New Roman" w:hAnsi="Times New Roman" w:cs="Times New Roman"/>
                <w:i/>
                <w:sz w:val="20"/>
                <w:szCs w:val="20"/>
                <w:lang w:eastAsia="en-GB"/>
              </w:rPr>
              <w:t xml:space="preserve"> of </w:t>
            </w:r>
            <w:proofErr w:type="spellStart"/>
            <w:r w:rsidRPr="00EA14B6">
              <w:rPr>
                <w:rFonts w:ascii="Times New Roman" w:eastAsia="Times New Roman" w:hAnsi="Times New Roman" w:cs="Times New Roman"/>
                <w:i/>
                <w:sz w:val="20"/>
                <w:szCs w:val="20"/>
                <w:lang w:eastAsia="en-GB"/>
              </w:rPr>
              <w:t>members</w:t>
            </w:r>
            <w:proofErr w:type="spellEnd"/>
            <w:r w:rsidRPr="00EE13C3">
              <w:rPr>
                <w:rFonts w:ascii="Times New Roman" w:eastAsia="Times New Roman" w:hAnsi="Times New Roman" w:cs="Times New Roman"/>
                <w:i/>
                <w:sz w:val="20"/>
                <w:szCs w:val="20"/>
                <w:lang w:eastAsia="en-GB"/>
              </w:rPr>
              <w:t xml:space="preserve"> of management body nonché del DM n.169/2020.</w:t>
            </w:r>
          </w:p>
          <w:p w14:paraId="41891AD3" w14:textId="4B2FF1AC" w:rsidR="00E54B34" w:rsidRPr="003A5A1D" w:rsidRDefault="00627407" w:rsidP="00627407">
            <w:pPr>
              <w:spacing w:after="120" w:line="240" w:lineRule="auto"/>
              <w:jc w:val="both"/>
              <w:rPr>
                <w:rFonts w:ascii="Times New Roman" w:eastAsia="Times New Roman" w:hAnsi="Times New Roman" w:cs="Times New Roman"/>
                <w:i/>
                <w:sz w:val="20"/>
                <w:szCs w:val="20"/>
                <w:lang w:eastAsia="en-GB"/>
              </w:rPr>
            </w:pPr>
            <w:r w:rsidRPr="00EE13C3">
              <w:rPr>
                <w:rFonts w:ascii="Times New Roman" w:eastAsia="Times New Roman" w:hAnsi="Times New Roman" w:cs="Times New Roman"/>
                <w:i/>
                <w:sz w:val="20"/>
                <w:szCs w:val="20"/>
                <w:lang w:eastAsia="en-GB"/>
              </w:rPr>
              <w:t>Le informazioni richieste per l'accertamento dei requisiti degli esponenti devono essere trasmesse mediante dichiarazione sostitutiva redatta ai sensi del D.P.R. n. 445/2000</w:t>
            </w:r>
            <w:r>
              <w:rPr>
                <w:rFonts w:ascii="Times New Roman" w:eastAsia="Times New Roman" w:hAnsi="Times New Roman" w:cs="Times New Roman"/>
                <w:i/>
                <w:sz w:val="20"/>
                <w:szCs w:val="20"/>
                <w:lang w:eastAsia="en-GB"/>
              </w:rPr>
              <w:t>; per le informazioni da trasmettere si rimanda altresì al Capitolo 3, Sezione II delle Disposizioni della Banca d’Italia di attuazione dell’articolo 5, commi 1 e 3, del decreto legislativo 5 settembre 2024, n.129 (disponibile sulla pagina del sito internet dedicata</w:t>
            </w:r>
            <w:r w:rsidRPr="00EE13C3">
              <w:rPr>
                <w:rFonts w:ascii="Times New Roman" w:eastAsia="Times New Roman" w:hAnsi="Times New Roman" w:cs="Times New Roman"/>
                <w:i/>
                <w:sz w:val="20"/>
                <w:szCs w:val="20"/>
                <w:lang w:eastAsia="en-GB"/>
              </w:rPr>
              <w:t xml:space="preserve"> </w:t>
            </w:r>
            <w:r>
              <w:rPr>
                <w:rFonts w:ascii="Times New Roman" w:eastAsia="Times New Roman" w:hAnsi="Times New Roman" w:cs="Times New Roman"/>
                <w:i/>
                <w:sz w:val="20"/>
                <w:szCs w:val="20"/>
                <w:lang w:eastAsia="en-GB"/>
              </w:rPr>
              <w:t>ai CASP).</w:t>
            </w:r>
            <w:r w:rsidRPr="00EE13C3">
              <w:rPr>
                <w:rFonts w:ascii="Times New Roman" w:eastAsia="Times New Roman" w:hAnsi="Times New Roman" w:cs="Times New Roman"/>
                <w:i/>
                <w:sz w:val="20"/>
                <w:szCs w:val="20"/>
                <w:lang w:eastAsia="en-GB"/>
              </w:rPr>
              <w:t xml:space="preserve">Inoltre, ai </w:t>
            </w:r>
            <w:r>
              <w:rPr>
                <w:rFonts w:ascii="Times New Roman" w:eastAsia="Times New Roman" w:hAnsi="Times New Roman" w:cs="Times New Roman"/>
                <w:i/>
                <w:sz w:val="20"/>
                <w:szCs w:val="20"/>
                <w:lang w:eastAsia="en-GB"/>
              </w:rPr>
              <w:t xml:space="preserve">fini </w:t>
            </w:r>
            <w:r w:rsidRPr="00EE13C3">
              <w:rPr>
                <w:rFonts w:ascii="Times New Roman" w:eastAsia="Times New Roman" w:hAnsi="Times New Roman" w:cs="Times New Roman"/>
                <w:i/>
                <w:sz w:val="20"/>
                <w:szCs w:val="20"/>
                <w:lang w:eastAsia="en-GB"/>
              </w:rPr>
              <w:t>della definizione dell’assetto di governance si invita a tenere conto delle indicazioni dell’ESMA ne</w:t>
            </w:r>
            <w:r>
              <w:rPr>
                <w:rFonts w:ascii="Times New Roman" w:eastAsia="Times New Roman" w:hAnsi="Times New Roman" w:cs="Times New Roman"/>
                <w:i/>
                <w:sz w:val="20"/>
                <w:szCs w:val="20"/>
                <w:lang w:eastAsia="en-GB"/>
              </w:rPr>
              <w:t>l</w:t>
            </w:r>
            <w:r w:rsidRPr="00EE13C3">
              <w:rPr>
                <w:rFonts w:ascii="Times New Roman" w:eastAsia="Times New Roman" w:hAnsi="Times New Roman" w:cs="Times New Roman"/>
                <w:i/>
                <w:sz w:val="20"/>
                <w:szCs w:val="20"/>
                <w:lang w:eastAsia="en-GB"/>
              </w:rPr>
              <w:t xml:space="preserve"> supervisory briefing</w:t>
            </w:r>
            <w:r>
              <w:rPr>
                <w:rStyle w:val="Rimandonotaapidipagina"/>
                <w:rFonts w:ascii="Times New Roman" w:eastAsia="Times New Roman" w:hAnsi="Times New Roman" w:cs="Times New Roman"/>
                <w:i/>
                <w:sz w:val="20"/>
                <w:szCs w:val="20"/>
                <w:lang w:eastAsia="en-GB"/>
              </w:rPr>
              <w:footnoteReference w:id="4"/>
            </w:r>
            <w:r w:rsidRPr="00EE13C3">
              <w:rPr>
                <w:rFonts w:ascii="Times New Roman" w:eastAsia="Times New Roman" w:hAnsi="Times New Roman" w:cs="Times New Roman"/>
                <w:i/>
                <w:sz w:val="20"/>
                <w:szCs w:val="20"/>
                <w:lang w:eastAsia="en-GB"/>
              </w:rPr>
              <w:t xml:space="preserve"> che indica come buone prassi</w:t>
            </w:r>
            <w:r>
              <w:rPr>
                <w:rFonts w:ascii="Times New Roman" w:eastAsia="Times New Roman" w:hAnsi="Times New Roman" w:cs="Times New Roman"/>
                <w:i/>
                <w:sz w:val="20"/>
                <w:szCs w:val="20"/>
                <w:lang w:eastAsia="en-GB"/>
              </w:rPr>
              <w:t>:</w:t>
            </w:r>
            <w:r w:rsidRPr="00EE13C3">
              <w:rPr>
                <w:rFonts w:ascii="Times New Roman" w:eastAsia="Times New Roman" w:hAnsi="Times New Roman" w:cs="Times New Roman"/>
                <w:i/>
                <w:sz w:val="20"/>
                <w:szCs w:val="20"/>
                <w:lang w:eastAsia="en-GB"/>
              </w:rPr>
              <w:t xml:space="preserve"> (i) la presenza di un amministratore indipendente; (ii) la residenza di almeno un amministratore esecutivo nel territorio dello Stato in cui è richiesta l'autorizzazione; (iii) una struttura dell'organo amministrativo che assicuri un'adeguata dialettica tra gli esponenti ed eviti la concentrazione di poteri in capo a singole figure.</w:t>
            </w:r>
            <w:r w:rsidR="00E54B34" w:rsidRPr="00EE13C3">
              <w:rPr>
                <w:rFonts w:ascii="Times New Roman" w:eastAsia="Times New Roman" w:hAnsi="Times New Roman" w:cs="Times New Roman"/>
                <w:i/>
                <w:sz w:val="20"/>
                <w:szCs w:val="20"/>
                <w:lang w:eastAsia="en-GB"/>
              </w:rPr>
              <w:t>.</w:t>
            </w:r>
          </w:p>
        </w:tc>
      </w:tr>
      <w:tr w:rsidR="00E54B34" w:rsidRPr="008B23C0" w14:paraId="0B12E54D" w14:textId="77777777" w:rsidTr="00111686">
        <w:trPr>
          <w:trHeight w:val="340"/>
        </w:trPr>
        <w:tc>
          <w:tcPr>
            <w:tcW w:w="7366" w:type="dxa"/>
            <w:gridSpan w:val="2"/>
            <w:shd w:val="clear" w:color="auto" w:fill="F2F2F2" w:themeFill="background1" w:themeFillShade="F2"/>
            <w:vAlign w:val="center"/>
          </w:tcPr>
          <w:p w14:paraId="25734685" w14:textId="77777777" w:rsidR="00E54B34" w:rsidRPr="000F5074" w:rsidRDefault="00E54B34" w:rsidP="00E54B34">
            <w:pPr>
              <w:spacing w:after="0" w:line="240" w:lineRule="auto"/>
              <w:jc w:val="both"/>
              <w:rPr>
                <w:rFonts w:ascii="Times" w:eastAsia="Times New Roman" w:hAnsi="Times" w:cs="Times"/>
                <w:sz w:val="20"/>
                <w:szCs w:val="20"/>
                <w:lang w:eastAsia="en-GB"/>
              </w:rPr>
            </w:pPr>
            <w:r w:rsidRPr="00EE13C3">
              <w:rPr>
                <w:rFonts w:ascii="Times" w:eastAsia="Times New Roman" w:hAnsi="Times" w:cs="Times"/>
                <w:sz w:val="20"/>
                <w:szCs w:val="20"/>
                <w:lang w:eastAsia="en-GB"/>
              </w:rPr>
              <w:t xml:space="preserve">Ai </w:t>
            </w:r>
            <w:r>
              <w:rPr>
                <w:rFonts w:ascii="Times" w:eastAsia="Times New Roman" w:hAnsi="Times" w:cs="Times"/>
                <w:sz w:val="20"/>
                <w:szCs w:val="20"/>
                <w:lang w:eastAsia="en-GB"/>
              </w:rPr>
              <w:t>sensi</w:t>
            </w:r>
            <w:r w:rsidRPr="00EE13C3">
              <w:rPr>
                <w:rFonts w:ascii="Times" w:eastAsia="Times New Roman" w:hAnsi="Times" w:cs="Times"/>
                <w:sz w:val="20"/>
                <w:szCs w:val="20"/>
                <w:lang w:eastAsia="en-GB"/>
              </w:rPr>
              <w:t xml:space="preserve"> dell’articolo 62, paragrafo 2, lettera g), del regolamento (UE) 2023/1114</w:t>
            </w:r>
            <w:r>
              <w:rPr>
                <w:rFonts w:ascii="Times" w:eastAsia="Times New Roman" w:hAnsi="Times" w:cs="Times"/>
                <w:sz w:val="20"/>
                <w:szCs w:val="20"/>
                <w:lang w:eastAsia="en-GB"/>
              </w:rPr>
              <w:t xml:space="preserve"> e dell’articolo 7 del regolamento delegato (UE) della Commissione 2025/305,</w:t>
            </w:r>
            <w:r w:rsidRPr="00EE13C3">
              <w:rPr>
                <w:rFonts w:ascii="Times" w:eastAsia="Times New Roman" w:hAnsi="Times" w:cs="Times"/>
                <w:sz w:val="20"/>
                <w:szCs w:val="20"/>
                <w:lang w:eastAsia="en-GB"/>
              </w:rPr>
              <w:t xml:space="preserve"> i richiedenti </w:t>
            </w:r>
            <w:r w:rsidRPr="00EE13C3">
              <w:rPr>
                <w:rFonts w:ascii="Times" w:eastAsia="Times New Roman" w:hAnsi="Times" w:cs="Times"/>
                <w:sz w:val="20"/>
                <w:szCs w:val="20"/>
                <w:lang w:eastAsia="en-GB"/>
              </w:rPr>
              <w:lastRenderedPageBreak/>
              <w:t>forniscono all’autorità competente tutte le informazioni seguenti per ciascun membro dell’organo di amministrazione:</w:t>
            </w:r>
          </w:p>
        </w:tc>
        <w:tc>
          <w:tcPr>
            <w:tcW w:w="7513" w:type="dxa"/>
            <w:shd w:val="clear" w:color="auto" w:fill="F2F2F2" w:themeFill="background1" w:themeFillShade="F2"/>
          </w:tcPr>
          <w:p w14:paraId="5265163C"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lastRenderedPageBreak/>
              <w:t>Le informazioni di dettaglio potranno essere fornite nell'Allegato 7, suddividendole in paragrafi. Fornire all’interno dell’Allegato 7.1 una sola dichiarazione sostitutiva riguardante i punti e), f), g) ed i) per ogni soggetto.</w:t>
            </w:r>
          </w:p>
        </w:tc>
      </w:tr>
      <w:tr w:rsidR="00E54B34" w:rsidRPr="008B23C0" w14:paraId="75DEE1A1" w14:textId="77777777" w:rsidTr="00796739">
        <w:trPr>
          <w:trHeight w:val="340"/>
        </w:trPr>
        <w:tc>
          <w:tcPr>
            <w:tcW w:w="2726" w:type="dxa"/>
            <w:vMerge w:val="restart"/>
            <w:shd w:val="clear" w:color="auto" w:fill="F2F2F2" w:themeFill="background1" w:themeFillShade="F2"/>
            <w:vAlign w:val="center"/>
          </w:tcPr>
          <w:p w14:paraId="6EF364DB" w14:textId="77777777" w:rsidR="00E54B34" w:rsidRPr="00670157" w:rsidRDefault="00E54B34" w:rsidP="00E54B34">
            <w:pPr>
              <w:spacing w:after="0" w:line="240" w:lineRule="auto"/>
              <w:jc w:val="both"/>
              <w:rPr>
                <w:rFonts w:ascii="Times" w:hAnsi="Times" w:cs="Times"/>
                <w:b/>
                <w:bCs/>
                <w:sz w:val="20"/>
                <w:szCs w:val="20"/>
              </w:rPr>
            </w:pPr>
            <w:r>
              <w:rPr>
                <w:rFonts w:ascii="Times" w:hAnsi="Times" w:cs="Times"/>
                <w:b/>
                <w:bCs/>
                <w:sz w:val="20"/>
                <w:szCs w:val="20"/>
              </w:rPr>
              <w:t>1. Composizione dell’organo di amministrazione</w:t>
            </w:r>
          </w:p>
        </w:tc>
        <w:tc>
          <w:tcPr>
            <w:tcW w:w="4640" w:type="dxa"/>
            <w:shd w:val="clear" w:color="auto" w:fill="F2F2F2" w:themeFill="background1" w:themeFillShade="F2"/>
          </w:tcPr>
          <w:p w14:paraId="0A711402" w14:textId="77777777" w:rsidR="00E54B34" w:rsidRPr="00937F93"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lang w:eastAsia="en-GB"/>
              </w:rPr>
              <w:t xml:space="preserve">(a) </w:t>
            </w:r>
            <w:r w:rsidRPr="0038289F">
              <w:rPr>
                <w:rFonts w:ascii="Times" w:eastAsia="Times New Roman" w:hAnsi="Times" w:cs="Times"/>
                <w:sz w:val="20"/>
                <w:szCs w:val="20"/>
                <w:lang w:eastAsia="en-GB"/>
              </w:rPr>
              <w:t>il nome e cognome e, se diverso, il cognome di nascita;</w:t>
            </w:r>
          </w:p>
        </w:tc>
        <w:tc>
          <w:tcPr>
            <w:tcW w:w="7513" w:type="dxa"/>
            <w:shd w:val="clear" w:color="auto" w:fill="FFFFFF" w:themeFill="background1"/>
          </w:tcPr>
          <w:p w14:paraId="2F193A50"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2EBA4A77" w14:textId="77777777" w:rsidTr="00796739">
        <w:trPr>
          <w:trHeight w:val="340"/>
        </w:trPr>
        <w:tc>
          <w:tcPr>
            <w:tcW w:w="2726" w:type="dxa"/>
            <w:vMerge/>
            <w:shd w:val="clear" w:color="auto" w:fill="F2F2F2" w:themeFill="background1" w:themeFillShade="F2"/>
            <w:vAlign w:val="center"/>
          </w:tcPr>
          <w:p w14:paraId="0282E423" w14:textId="77777777" w:rsidR="00E54B34" w:rsidRPr="00D456BD"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276D5EC"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lang w:eastAsia="en-GB"/>
              </w:rPr>
              <w:t xml:space="preserve">(b) </w:t>
            </w:r>
            <w:r w:rsidRPr="0038289F">
              <w:rPr>
                <w:rFonts w:ascii="Times" w:eastAsia="Times New Roman" w:hAnsi="Times" w:cs="Times"/>
                <w:sz w:val="20"/>
                <w:szCs w:val="20"/>
                <w:lang w:eastAsia="en-GB"/>
              </w:rPr>
              <w:t xml:space="preserve">il luogo e la data di nascita, l’indirizzo e i recapiti del luogo di residenza attuale e di qualsiasi altro luogo di residenza negli ultimi dieci </w:t>
            </w:r>
            <w:r w:rsidRPr="00F2365B">
              <w:rPr>
                <w:rFonts w:ascii="Times" w:eastAsia="Times New Roman" w:hAnsi="Times" w:cs="Times"/>
                <w:sz w:val="20"/>
                <w:szCs w:val="20"/>
                <w:lang w:eastAsia="en-GB"/>
              </w:rPr>
              <w:t>anni, la cittadinanza o le cittadinanze</w:t>
            </w:r>
            <w:r w:rsidRPr="0038289F">
              <w:rPr>
                <w:rFonts w:ascii="Times" w:eastAsia="Times New Roman" w:hAnsi="Times" w:cs="Times"/>
                <w:sz w:val="20"/>
                <w:szCs w:val="20"/>
                <w:lang w:eastAsia="en-GB"/>
              </w:rPr>
              <w:t>, il numero di identificazione nazionale e la copia di un documento d’identità ufficiale o equivalente;</w:t>
            </w:r>
          </w:p>
        </w:tc>
        <w:tc>
          <w:tcPr>
            <w:tcW w:w="7513" w:type="dxa"/>
            <w:shd w:val="clear" w:color="auto" w:fill="FFFFFF" w:themeFill="background1"/>
          </w:tcPr>
          <w:p w14:paraId="53F9BC51"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E71F11E" w14:textId="77777777" w:rsidTr="00796739">
        <w:trPr>
          <w:trHeight w:val="340"/>
        </w:trPr>
        <w:tc>
          <w:tcPr>
            <w:tcW w:w="2726" w:type="dxa"/>
            <w:vMerge/>
            <w:shd w:val="clear" w:color="auto" w:fill="F2F2F2" w:themeFill="background1" w:themeFillShade="F2"/>
            <w:vAlign w:val="center"/>
          </w:tcPr>
          <w:p w14:paraId="3BC7854E"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051E583"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lang w:eastAsia="en-GB"/>
              </w:rPr>
              <w:t xml:space="preserve">(c) </w:t>
            </w:r>
            <w:r w:rsidRPr="0038289F">
              <w:rPr>
                <w:rFonts w:ascii="Times" w:eastAsia="Times New Roman" w:hAnsi="Times" w:cs="Times"/>
                <w:sz w:val="20"/>
                <w:szCs w:val="20"/>
                <w:lang w:eastAsia="en-GB"/>
              </w:rPr>
              <w:t>informazioni dettagliate sulla posizione ricoperta o che sarà ricoperta dal membro dell’organo di amministrazione, tra cui se si tratta di una posizione con o senza incarichi esecutivi, la data di inizio o la data di inizio prevista e, se del caso, la durata del mandato, nonché una descrizione dei compiti e delle responsabilità principali del membro</w:t>
            </w:r>
            <w:r w:rsidRPr="000F5074">
              <w:rPr>
                <w:rFonts w:ascii="Times" w:eastAsia="Times New Roman" w:hAnsi="Times" w:cs="Times"/>
                <w:sz w:val="20"/>
                <w:szCs w:val="20"/>
                <w:lang w:eastAsia="en-GB"/>
              </w:rPr>
              <w:t>;</w:t>
            </w:r>
          </w:p>
        </w:tc>
        <w:tc>
          <w:tcPr>
            <w:tcW w:w="7513" w:type="dxa"/>
            <w:shd w:val="clear" w:color="auto" w:fill="FFFFFF" w:themeFill="background1"/>
          </w:tcPr>
          <w:p w14:paraId="10DECD2D" w14:textId="7D0CD116"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153D427D" w14:textId="77777777" w:rsidTr="00796739">
        <w:trPr>
          <w:trHeight w:val="340"/>
        </w:trPr>
        <w:tc>
          <w:tcPr>
            <w:tcW w:w="2726" w:type="dxa"/>
            <w:vMerge/>
            <w:shd w:val="clear" w:color="auto" w:fill="F2F2F2" w:themeFill="background1" w:themeFillShade="F2"/>
            <w:vAlign w:val="center"/>
          </w:tcPr>
          <w:p w14:paraId="043BE777"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92B725C" w14:textId="77777777" w:rsidR="00E54B34" w:rsidRDefault="00E54B34" w:rsidP="00E54B34">
            <w:pPr>
              <w:spacing w:after="0" w:line="240" w:lineRule="auto"/>
              <w:jc w:val="both"/>
              <w:rPr>
                <w:rFonts w:ascii="Times" w:eastAsia="Times New Roman" w:hAnsi="Times" w:cs="Times"/>
                <w:sz w:val="20"/>
                <w:szCs w:val="20"/>
                <w:lang w:eastAsia="en-GB"/>
              </w:rPr>
            </w:pPr>
            <w:r w:rsidRPr="005A3EFB">
              <w:rPr>
                <w:rFonts w:ascii="Times" w:eastAsia="Times New Roman" w:hAnsi="Times" w:cs="Times"/>
                <w:sz w:val="20"/>
                <w:szCs w:val="20"/>
                <w:lang w:eastAsia="en-GB"/>
              </w:rPr>
              <w:t xml:space="preserve">(d) </w:t>
            </w:r>
            <w:r w:rsidRPr="00866FE6">
              <w:rPr>
                <w:rFonts w:ascii="Times" w:eastAsia="Times New Roman" w:hAnsi="Times" w:cs="Times"/>
                <w:sz w:val="20"/>
                <w:szCs w:val="20"/>
                <w:lang w:eastAsia="en-GB"/>
              </w:rPr>
              <w:t xml:space="preserve">un curriculum vitae che indichi l’istruzione, la formazione </w:t>
            </w:r>
            <w:r w:rsidRPr="00A10180">
              <w:rPr>
                <w:rFonts w:ascii="Times" w:eastAsia="Times New Roman" w:hAnsi="Times" w:cs="Times"/>
                <w:sz w:val="20"/>
                <w:szCs w:val="20"/>
                <w:lang w:eastAsia="en-GB"/>
              </w:rPr>
              <w:t>professionale</w:t>
            </w:r>
            <w:r w:rsidRPr="00866FE6">
              <w:rPr>
                <w:rFonts w:ascii="Times" w:eastAsia="Times New Roman" w:hAnsi="Times" w:cs="Times"/>
                <w:sz w:val="20"/>
                <w:szCs w:val="20"/>
                <w:lang w:eastAsia="en-GB"/>
              </w:rPr>
              <w:t xml:space="preserve"> e l’esperienza professionale pertinenti con il nome e la natura di tutte le organizzazioni per le quali il membro ha lavorato e la natura e la durata delle funzioni svolte per le posizioni ricoperte nei dieci anni precedenti, evidenziando in particolare le attività che rientrano nell’ambito della posizione richiesta, compresa l’esperienza professionale relativa ai servizi finanziari, alle cripto- attività o ad altre attività digitali, alla DLT, alle tecnologie dell’informazione, alla cibersicurezza o all’innovazione </w:t>
            </w:r>
            <w:r w:rsidRPr="001B3B0C">
              <w:rPr>
                <w:rFonts w:ascii="Times" w:eastAsia="Times New Roman" w:hAnsi="Times" w:cs="Times"/>
                <w:sz w:val="20"/>
                <w:szCs w:val="20"/>
                <w:lang w:eastAsia="en-GB"/>
              </w:rPr>
              <w:t>digitale</w:t>
            </w:r>
            <w:r>
              <w:rPr>
                <w:rFonts w:ascii="Times" w:eastAsia="Times New Roman" w:hAnsi="Times" w:cs="Times"/>
                <w:sz w:val="20"/>
                <w:szCs w:val="20"/>
                <w:lang w:eastAsia="en-GB"/>
              </w:rPr>
              <w:t>.</w:t>
            </w:r>
          </w:p>
          <w:p w14:paraId="62CEFAC0" w14:textId="77777777" w:rsidR="00E54B34" w:rsidRPr="00E313C3" w:rsidRDefault="00E54B34" w:rsidP="00E54B34">
            <w:pPr>
              <w:spacing w:after="0" w:line="240" w:lineRule="auto"/>
              <w:jc w:val="both"/>
              <w:rPr>
                <w:rFonts w:ascii="Times" w:eastAsia="Times New Roman" w:hAnsi="Times" w:cs="Times"/>
                <w:sz w:val="20"/>
                <w:szCs w:val="20"/>
                <w:lang w:eastAsia="en-GB"/>
              </w:rPr>
            </w:pPr>
            <w:r w:rsidRPr="00872A3A">
              <w:rPr>
                <w:rFonts w:ascii="Times" w:eastAsia="Times New Roman" w:hAnsi="Times" w:cs="Times"/>
                <w:sz w:val="20"/>
                <w:szCs w:val="20"/>
                <w:lang w:eastAsia="en-GB"/>
              </w:rPr>
              <w:t>Ai fini della lettera d), il richiedente include informazioni dettagliate su tutti i poteri delegati e i poteri decisionali interni detenuti e sui settori operativi controllati.</w:t>
            </w:r>
          </w:p>
        </w:tc>
        <w:tc>
          <w:tcPr>
            <w:tcW w:w="7513" w:type="dxa"/>
            <w:shd w:val="clear" w:color="auto" w:fill="FFFFFF" w:themeFill="background1"/>
          </w:tcPr>
          <w:p w14:paraId="397694F5" w14:textId="60BB6A7A"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139B5DA4" w14:textId="77777777" w:rsidTr="00796739">
        <w:trPr>
          <w:trHeight w:val="340"/>
        </w:trPr>
        <w:tc>
          <w:tcPr>
            <w:tcW w:w="2726" w:type="dxa"/>
            <w:vMerge/>
            <w:shd w:val="clear" w:color="auto" w:fill="F2F2F2" w:themeFill="background1" w:themeFillShade="F2"/>
            <w:vAlign w:val="center"/>
          </w:tcPr>
          <w:p w14:paraId="6A2C73D3"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6644B41" w14:textId="77777777" w:rsidR="00E54B34" w:rsidRPr="0067327D" w:rsidRDefault="00E54B34" w:rsidP="00E54B34">
            <w:pPr>
              <w:spacing w:after="0" w:line="240" w:lineRule="auto"/>
              <w:jc w:val="both"/>
              <w:rPr>
                <w:rFonts w:ascii="Times" w:eastAsia="Times New Roman" w:hAnsi="Times" w:cs="Times"/>
                <w:i/>
                <w:iCs/>
                <w:sz w:val="20"/>
                <w:szCs w:val="20"/>
                <w:lang w:eastAsia="en-GB"/>
              </w:rPr>
            </w:pPr>
            <w:r w:rsidRPr="005A3EFB">
              <w:rPr>
                <w:rFonts w:ascii="Times" w:eastAsia="Times New Roman" w:hAnsi="Times" w:cs="Times"/>
                <w:sz w:val="20"/>
                <w:szCs w:val="20"/>
                <w:lang w:eastAsia="en-GB"/>
              </w:rPr>
              <w:t xml:space="preserve">(e) </w:t>
            </w:r>
            <w:r w:rsidRPr="006333D5">
              <w:rPr>
                <w:rFonts w:ascii="Times" w:eastAsia="Times New Roman" w:hAnsi="Times" w:cs="Times"/>
                <w:sz w:val="20"/>
                <w:szCs w:val="20"/>
                <w:lang w:eastAsia="en-GB"/>
              </w:rPr>
              <w:t>la documentazione relativa alla reputazione e all’esperienza del membro, in particolare l’elenco delle referenze con i recapiti e le lettere di raccomandazione</w:t>
            </w:r>
            <w:r>
              <w:rPr>
                <w:rFonts w:ascii="Times" w:eastAsia="Times New Roman" w:hAnsi="Times" w:cs="Times"/>
                <w:sz w:val="20"/>
                <w:szCs w:val="20"/>
                <w:lang w:eastAsia="en-GB"/>
              </w:rPr>
              <w:t>;</w:t>
            </w:r>
          </w:p>
        </w:tc>
        <w:tc>
          <w:tcPr>
            <w:tcW w:w="7513" w:type="dxa"/>
            <w:shd w:val="clear" w:color="auto" w:fill="FFFFFF" w:themeFill="background1"/>
          </w:tcPr>
          <w:p w14:paraId="10A7E225"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89257FB" w14:textId="77777777" w:rsidTr="00796739">
        <w:trPr>
          <w:trHeight w:val="340"/>
        </w:trPr>
        <w:tc>
          <w:tcPr>
            <w:tcW w:w="2726" w:type="dxa"/>
            <w:vMerge/>
            <w:shd w:val="clear" w:color="auto" w:fill="F2F2F2" w:themeFill="background1" w:themeFillShade="F2"/>
            <w:vAlign w:val="center"/>
          </w:tcPr>
          <w:p w14:paraId="4A6418E5" w14:textId="77777777" w:rsidR="00E54B34" w:rsidRPr="0067327D"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D1BEB7E" w14:textId="77777777" w:rsidR="00E54B34" w:rsidRPr="000F5074" w:rsidRDefault="00E54B34" w:rsidP="00E54B34">
            <w:pPr>
              <w:spacing w:after="0" w:line="240" w:lineRule="auto"/>
              <w:jc w:val="both"/>
              <w:rPr>
                <w:rFonts w:ascii="Times" w:eastAsia="Times New Roman" w:hAnsi="Times" w:cs="Times"/>
                <w:sz w:val="20"/>
                <w:szCs w:val="20"/>
                <w:lang w:eastAsia="en-GB"/>
              </w:rPr>
            </w:pPr>
            <w:r w:rsidRPr="000F5074">
              <w:rPr>
                <w:rFonts w:ascii="Times" w:eastAsia="Times New Roman" w:hAnsi="Times" w:cs="Times"/>
                <w:sz w:val="20"/>
                <w:szCs w:val="20"/>
                <w:lang w:eastAsia="en-GB"/>
              </w:rPr>
              <w:t>(f</w:t>
            </w:r>
            <w:r w:rsidRPr="00102403">
              <w:rPr>
                <w:rFonts w:ascii="Times" w:eastAsia="Times New Roman" w:hAnsi="Times" w:cs="Times"/>
                <w:sz w:val="20"/>
                <w:szCs w:val="20"/>
                <w:lang w:eastAsia="en-GB"/>
              </w:rPr>
              <w:t xml:space="preserve">) </w:t>
            </w:r>
            <w:r w:rsidRPr="00102403">
              <w:t xml:space="preserve"> </w:t>
            </w:r>
            <w:r w:rsidRPr="00102403">
              <w:rPr>
                <w:rFonts w:ascii="Times" w:eastAsia="Times New Roman" w:hAnsi="Times" w:cs="Times"/>
                <w:sz w:val="20"/>
                <w:szCs w:val="20"/>
                <w:lang w:eastAsia="en-GB"/>
              </w:rPr>
              <w:t>i precedenti del membro, in</w:t>
            </w:r>
            <w:r w:rsidRPr="006333D5">
              <w:rPr>
                <w:rFonts w:ascii="Times" w:eastAsia="Times New Roman" w:hAnsi="Times" w:cs="Times"/>
                <w:sz w:val="20"/>
                <w:szCs w:val="20"/>
                <w:lang w:eastAsia="en-GB"/>
              </w:rPr>
              <w:t xml:space="preserve"> particolare tutti gli elementi seguenti</w:t>
            </w:r>
            <w:r w:rsidRPr="00DC4790">
              <w:rPr>
                <w:rFonts w:ascii="Times" w:eastAsia="Times New Roman" w:hAnsi="Times" w:cs="Times"/>
                <w:sz w:val="20"/>
                <w:szCs w:val="20"/>
                <w:lang w:eastAsia="en-GB"/>
              </w:rPr>
              <w:t xml:space="preserve">: </w:t>
            </w:r>
          </w:p>
          <w:p w14:paraId="33264CF7" w14:textId="77777777" w:rsidR="00E54B34"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Pr>
                <w:rFonts w:ascii="Times" w:eastAsia="Times New Roman" w:hAnsi="Times" w:cs="Times"/>
                <w:lang w:val="it-IT"/>
              </w:rPr>
              <w:t>assenza di precedenti penali;</w:t>
            </w:r>
          </w:p>
          <w:p w14:paraId="5F6373E0" w14:textId="77777777" w:rsidR="00E54B34"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sidRPr="006333D5">
              <w:rPr>
                <w:rFonts w:ascii="Times" w:eastAsia="Times New Roman" w:hAnsi="Times" w:cs="Times"/>
                <w:lang w:val="it-IT"/>
              </w:rPr>
              <w:t>informazioni su procedimenti o indagini penali in corso o sanzioni penali (riguardanti il diritto commerciale, il diritto in materia di servizi finanziari, il riciclaggio di denaro e il finanziamento del terrorismo, la frode o la responsabilità professionale), informazioni su procedimenti esecutivi o sanzioni, informazioni sulle pertinenti cause civili e amministrative e azioni disciplinari, compresa l’interdizione dalla carica di amministratore di una società, su procedure fallimentari, di insolvenza e procedure analoghe</w:t>
            </w:r>
            <w:r>
              <w:rPr>
                <w:rFonts w:ascii="Times" w:eastAsia="Times New Roman" w:hAnsi="Times" w:cs="Times"/>
                <w:lang w:val="it-IT"/>
              </w:rPr>
              <w:t xml:space="preserve">; </w:t>
            </w:r>
          </w:p>
          <w:p w14:paraId="0561318B" w14:textId="77777777" w:rsidR="00E54B34"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sidRPr="006333D5">
              <w:rPr>
                <w:rFonts w:ascii="Times" w:eastAsia="Times New Roman" w:hAnsi="Times" w:cs="Times"/>
                <w:lang w:val="it-IT"/>
              </w:rPr>
              <w:t>informazioni su qualsiasi rifiuto, ritiro, revoca o cessazione della registrazione, autorizzazione, adesione o licenza per l’esercizio di un’attività commerciale, imprenditoriale o professionale, o su qualsiasi espulsione da un organismo di regolamentazione o di governo, ovvero da un ordine o associazione professionale</w:t>
            </w:r>
            <w:r>
              <w:rPr>
                <w:rFonts w:ascii="Times" w:eastAsia="Times New Roman" w:hAnsi="Times" w:cs="Times"/>
                <w:lang w:val="it-IT"/>
              </w:rPr>
              <w:t>;</w:t>
            </w:r>
          </w:p>
          <w:p w14:paraId="7CB65AD0" w14:textId="77777777" w:rsidR="00E54B34" w:rsidRPr="00300F8D"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sidRPr="00300F8D">
              <w:rPr>
                <w:rFonts w:ascii="Times" w:eastAsia="Times New Roman" w:hAnsi="Times" w:cs="Times"/>
                <w:lang w:val="it-IT"/>
              </w:rPr>
              <w:t>informazioni sulla rimozione da una posizione di fiducia, da un rapporto fiduciario o da una situazione di fiducia analoga o da un rapporto analogo;</w:t>
            </w:r>
          </w:p>
          <w:p w14:paraId="7AC6DC0A" w14:textId="77777777" w:rsidR="00E54B34" w:rsidRDefault="00E54B34" w:rsidP="00E54B34">
            <w:pPr>
              <w:pStyle w:val="Paragrafoelenco"/>
              <w:numPr>
                <w:ilvl w:val="0"/>
                <w:numId w:val="9"/>
              </w:numPr>
              <w:spacing w:after="0" w:line="240" w:lineRule="auto"/>
              <w:contextualSpacing w:val="0"/>
              <w:jc w:val="both"/>
              <w:rPr>
                <w:rFonts w:ascii="Times" w:eastAsia="Times New Roman" w:hAnsi="Times" w:cs="Times"/>
                <w:lang w:val="it-IT"/>
              </w:rPr>
            </w:pPr>
            <w:r w:rsidRPr="00300F8D">
              <w:rPr>
                <w:rFonts w:ascii="Times" w:eastAsia="Times New Roman" w:hAnsi="Times" w:cs="Times"/>
                <w:lang w:val="it-IT"/>
              </w:rPr>
              <w:t xml:space="preserve">informazioni che indichino se un’autorità ha valutato la reputazione della persona, compresa l’identità di tale autorità, la data </w:t>
            </w:r>
            <w:r w:rsidRPr="00300F8D">
              <w:rPr>
                <w:rFonts w:ascii="Times" w:eastAsia="Times New Roman" w:hAnsi="Times" w:cs="Times"/>
                <w:lang w:val="it-IT"/>
              </w:rPr>
              <w:lastRenderedPageBreak/>
              <w:t>della valutazione e le informazioni sull’esito di tale valutazione</w:t>
            </w:r>
            <w:r w:rsidRPr="00DC780A">
              <w:rPr>
                <w:rFonts w:ascii="Times" w:eastAsia="Times New Roman" w:hAnsi="Times" w:cs="Times"/>
                <w:lang w:val="it-IT"/>
              </w:rPr>
              <w:t>.</w:t>
            </w:r>
          </w:p>
          <w:p w14:paraId="39F45CDA" w14:textId="77777777" w:rsidR="00E54B34" w:rsidRDefault="00E54B34" w:rsidP="00E54B34">
            <w:pPr>
              <w:spacing w:after="0" w:line="240" w:lineRule="auto"/>
              <w:jc w:val="both"/>
              <w:rPr>
                <w:rFonts w:ascii="Times" w:eastAsia="Times New Roman" w:hAnsi="Times" w:cs="Times"/>
              </w:rPr>
            </w:pPr>
          </w:p>
          <w:p w14:paraId="6E9ADC5A" w14:textId="77777777" w:rsidR="00E54B34" w:rsidRDefault="00E54B34" w:rsidP="00E54B34">
            <w:pPr>
              <w:spacing w:after="0" w:line="240" w:lineRule="auto"/>
              <w:jc w:val="both"/>
              <w:rPr>
                <w:rFonts w:ascii="Times" w:eastAsia="Times New Roman" w:hAnsi="Times" w:cs="Times"/>
                <w:sz w:val="20"/>
                <w:szCs w:val="20"/>
              </w:rPr>
            </w:pPr>
            <w:r w:rsidRPr="00DC4A75">
              <w:rPr>
                <w:rFonts w:ascii="Times" w:eastAsia="Times New Roman" w:hAnsi="Times" w:cs="Times"/>
                <w:sz w:val="20"/>
                <w:szCs w:val="20"/>
              </w:rPr>
              <w:t>Ai fini della lettera f),</w:t>
            </w:r>
            <w:r>
              <w:rPr>
                <w:rFonts w:ascii="Times" w:eastAsia="Times New Roman" w:hAnsi="Times" w:cs="Times"/>
                <w:sz w:val="20"/>
                <w:szCs w:val="20"/>
              </w:rPr>
              <w:t xml:space="preserve"> punti i) e ii),</w:t>
            </w:r>
            <w:r>
              <w:t xml:space="preserve"> </w:t>
            </w:r>
            <w:r w:rsidRPr="00300F8D">
              <w:rPr>
                <w:rFonts w:ascii="Times" w:eastAsia="Times New Roman" w:hAnsi="Times" w:cs="Times"/>
                <w:sz w:val="20"/>
                <w:szCs w:val="20"/>
              </w:rPr>
              <w:t>i richiedenti forniscono le informazioni mediante un certificato ufficiale, se disponibile nello Stato membro o nel paese terzo interessato, o mediante un altro documento equivalente, qualora tale certificato non esista. Le registrazioni, i certificati e i documenti ufficiali devono essere stati rilasciati nei tre mesi precedenti la presentazione della domanda di autorizzazione. Per quanto riguarda le indagini in corso, le informazioni possono essere fornite tramite autocertificazione.</w:t>
            </w:r>
            <w:r>
              <w:rPr>
                <w:rFonts w:ascii="Times" w:eastAsia="Times New Roman" w:hAnsi="Times" w:cs="Times"/>
                <w:sz w:val="20"/>
                <w:szCs w:val="20"/>
              </w:rPr>
              <w:t xml:space="preserve"> </w:t>
            </w:r>
          </w:p>
          <w:p w14:paraId="46045BA3" w14:textId="77777777" w:rsidR="00E54B34" w:rsidRPr="00D456BD" w:rsidRDefault="00E54B34" w:rsidP="00E54B34">
            <w:pPr>
              <w:spacing w:after="0" w:line="240" w:lineRule="auto"/>
              <w:jc w:val="both"/>
              <w:rPr>
                <w:rFonts w:ascii="Times" w:eastAsia="Times New Roman" w:hAnsi="Times" w:cs="Times"/>
                <w:sz w:val="20"/>
                <w:szCs w:val="20"/>
              </w:rPr>
            </w:pPr>
            <w:r w:rsidRPr="00DC4A75">
              <w:rPr>
                <w:rFonts w:ascii="Times" w:eastAsia="Times New Roman" w:hAnsi="Times" w:cs="Times"/>
                <w:sz w:val="20"/>
                <w:szCs w:val="20"/>
              </w:rPr>
              <w:t>Ai fini della lettera f), punto iv),</w:t>
            </w:r>
            <w:r>
              <w:rPr>
                <w:rFonts w:ascii="Times" w:eastAsia="Times New Roman" w:hAnsi="Times" w:cs="Times"/>
                <w:sz w:val="20"/>
                <w:szCs w:val="20"/>
              </w:rPr>
              <w:t xml:space="preserve"> </w:t>
            </w:r>
            <w:r w:rsidRPr="00300F8D">
              <w:rPr>
                <w:rFonts w:ascii="Times" w:eastAsia="Times New Roman" w:hAnsi="Times" w:cs="Times"/>
                <w:sz w:val="20"/>
                <w:szCs w:val="20"/>
              </w:rPr>
              <w:t>il richiedente non è tenuto a presentare le informazioni sulla valutazione precedente se l’autorità competente dispone già di tali informazioni</w:t>
            </w:r>
            <w:r>
              <w:rPr>
                <w:rFonts w:ascii="Times" w:eastAsia="Times New Roman" w:hAnsi="Times" w:cs="Times"/>
                <w:sz w:val="20"/>
                <w:szCs w:val="20"/>
              </w:rPr>
              <w:t>.</w:t>
            </w:r>
          </w:p>
          <w:p w14:paraId="303C4845" w14:textId="77777777" w:rsidR="00E54B34" w:rsidRPr="00937F93" w:rsidRDefault="00E54B34" w:rsidP="00E54B34">
            <w:pPr>
              <w:spacing w:after="0" w:line="240" w:lineRule="auto"/>
              <w:jc w:val="both"/>
              <w:rPr>
                <w:rFonts w:ascii="Times" w:eastAsia="Times New Roman" w:hAnsi="Times" w:cs="Times"/>
                <w:i/>
                <w:iCs/>
                <w:sz w:val="20"/>
                <w:szCs w:val="20"/>
                <w:lang w:eastAsia="en-GB"/>
              </w:rPr>
            </w:pPr>
          </w:p>
        </w:tc>
        <w:tc>
          <w:tcPr>
            <w:tcW w:w="7513" w:type="dxa"/>
            <w:shd w:val="clear" w:color="auto" w:fill="FFFFFF" w:themeFill="background1"/>
          </w:tcPr>
          <w:p w14:paraId="13AD408F"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F2D44B4" w14:textId="77777777" w:rsidTr="00796739">
        <w:trPr>
          <w:trHeight w:val="340"/>
        </w:trPr>
        <w:tc>
          <w:tcPr>
            <w:tcW w:w="2726" w:type="dxa"/>
            <w:vMerge/>
            <w:shd w:val="clear" w:color="auto" w:fill="F2F2F2" w:themeFill="background1" w:themeFillShade="F2"/>
            <w:vAlign w:val="center"/>
          </w:tcPr>
          <w:p w14:paraId="21463491" w14:textId="77777777" w:rsidR="00E54B34" w:rsidRPr="00D456BD"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D5B663C" w14:textId="77777777" w:rsidR="00E54B34" w:rsidRPr="00DC4790" w:rsidRDefault="00E54B34" w:rsidP="00E54B34">
            <w:pPr>
              <w:spacing w:after="0" w:line="240" w:lineRule="auto"/>
              <w:jc w:val="both"/>
              <w:rPr>
                <w:rFonts w:ascii="Times" w:eastAsia="Times New Roman" w:hAnsi="Times" w:cs="Times"/>
                <w:sz w:val="20"/>
                <w:szCs w:val="20"/>
                <w:lang w:eastAsia="en-GB"/>
              </w:rPr>
            </w:pPr>
            <w:r w:rsidRPr="000F5074">
              <w:rPr>
                <w:rFonts w:ascii="Times" w:eastAsia="Times New Roman" w:hAnsi="Times" w:cs="Times"/>
                <w:sz w:val="20"/>
                <w:szCs w:val="20"/>
                <w:lang w:eastAsia="en-GB"/>
              </w:rPr>
              <w:t>(g)</w:t>
            </w:r>
            <w:r w:rsidRPr="000F5074">
              <w:rPr>
                <w:rFonts w:ascii="Times" w:hAnsi="Times" w:cs="Times"/>
                <w:sz w:val="20"/>
                <w:szCs w:val="20"/>
              </w:rPr>
              <w:t xml:space="preserve"> </w:t>
            </w:r>
            <w:r w:rsidRPr="005C79EA">
              <w:rPr>
                <w:rFonts w:ascii="Times" w:eastAsia="Times New Roman" w:hAnsi="Times" w:cs="Times"/>
                <w:sz w:val="20"/>
                <w:szCs w:val="20"/>
                <w:lang w:eastAsia="en-GB"/>
              </w:rPr>
              <w:t xml:space="preserve">una descrizione degli interessi o dei rapporti finanziari e non finanziari del membro e dei suoi stretti familiari con altri membri dell’organo di amministrazione e con i titolari di funzioni chiave nello stesso ente, nell’impresa madre, </w:t>
            </w:r>
            <w:r w:rsidRPr="00514467">
              <w:rPr>
                <w:rFonts w:ascii="Times" w:eastAsia="Times New Roman" w:hAnsi="Times" w:cs="Times"/>
                <w:sz w:val="20"/>
                <w:szCs w:val="20"/>
                <w:lang w:eastAsia="en-GB"/>
              </w:rPr>
              <w:t xml:space="preserve">nelle filiazioni </w:t>
            </w:r>
            <w:r w:rsidRPr="005C79EA">
              <w:rPr>
                <w:rFonts w:ascii="Times" w:eastAsia="Times New Roman" w:hAnsi="Times" w:cs="Times"/>
                <w:sz w:val="20"/>
                <w:szCs w:val="20"/>
                <w:lang w:eastAsia="en-GB"/>
              </w:rPr>
              <w:t>e negli azionisti, che potrebbero creare potenziali conflitti di interesse</w:t>
            </w:r>
            <w:r>
              <w:rPr>
                <w:rFonts w:ascii="Times" w:eastAsia="Times New Roman" w:hAnsi="Times" w:cs="Times"/>
                <w:sz w:val="20"/>
                <w:szCs w:val="20"/>
                <w:lang w:eastAsia="en-GB"/>
              </w:rPr>
              <w:t>.</w:t>
            </w:r>
          </w:p>
          <w:p w14:paraId="566DD12E"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5C79EA">
              <w:rPr>
                <w:rFonts w:ascii="Times" w:eastAsia="Times New Roman" w:hAnsi="Times" w:cs="Times"/>
                <w:sz w:val="20"/>
                <w:szCs w:val="20"/>
                <w:lang w:eastAsia="en-GB"/>
              </w:rPr>
              <w:t>Ai fini della lettera g), la descrizione comprende eventuali interessi finanziari, compresi cripto-attività, altre attività digitali, prestiti, partecipazioni azionarie, garanzie o diritti di garanzia, siano essi concessi o ricevuti, rapporti commerciali, procedimenti giudiziari e se negli ultimi due anni la persona è stata una persona politicamente esposta quale definita all’articolo 3, punto 9), della direttiva (UE) 2015/849;</w:t>
            </w:r>
            <w:r w:rsidRPr="000F5074">
              <w:rPr>
                <w:rFonts w:ascii="Times" w:eastAsia="Times New Roman" w:hAnsi="Times" w:cs="Times"/>
                <w:sz w:val="20"/>
                <w:szCs w:val="20"/>
                <w:lang w:eastAsia="en-GB"/>
              </w:rPr>
              <w:t xml:space="preserve"> </w:t>
            </w:r>
          </w:p>
        </w:tc>
        <w:tc>
          <w:tcPr>
            <w:tcW w:w="7513" w:type="dxa"/>
            <w:shd w:val="clear" w:color="auto" w:fill="FFFFFF" w:themeFill="background1"/>
          </w:tcPr>
          <w:p w14:paraId="4DFEB331"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57B0FAFF" w14:textId="77777777" w:rsidTr="00796739">
        <w:trPr>
          <w:trHeight w:val="340"/>
        </w:trPr>
        <w:tc>
          <w:tcPr>
            <w:tcW w:w="2726" w:type="dxa"/>
            <w:vMerge/>
            <w:shd w:val="clear" w:color="auto" w:fill="F2F2F2" w:themeFill="background1" w:themeFillShade="F2"/>
            <w:vAlign w:val="center"/>
          </w:tcPr>
          <w:p w14:paraId="46B1886E"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3CBB20A"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lang w:eastAsia="en-GB"/>
              </w:rPr>
              <w:t xml:space="preserve">(h) </w:t>
            </w:r>
            <w:r>
              <w:t xml:space="preserve"> </w:t>
            </w:r>
            <w:r w:rsidRPr="005C79EA">
              <w:rPr>
                <w:rFonts w:ascii="Times" w:eastAsia="Times New Roman" w:hAnsi="Times" w:cs="Times"/>
                <w:sz w:val="20"/>
                <w:szCs w:val="20"/>
                <w:lang w:eastAsia="en-GB"/>
              </w:rPr>
              <w:t xml:space="preserve">qualora sia individuato un conflitto di </w:t>
            </w:r>
            <w:r w:rsidRPr="00F2365B">
              <w:rPr>
                <w:rFonts w:ascii="Times" w:eastAsia="Times New Roman" w:hAnsi="Times" w:cs="Times"/>
                <w:sz w:val="20"/>
                <w:szCs w:val="20"/>
                <w:lang w:eastAsia="en-GB"/>
              </w:rPr>
              <w:t>interesse rilevante, una dichiarazione sul modo in cui tale conflitto sarà attenuato o risolto, compreso un riferimento alla descrizione sintetica della</w:t>
            </w:r>
            <w:r w:rsidRPr="005C79EA">
              <w:rPr>
                <w:rFonts w:ascii="Times" w:eastAsia="Times New Roman" w:hAnsi="Times" w:cs="Times"/>
                <w:sz w:val="20"/>
                <w:szCs w:val="20"/>
                <w:lang w:eastAsia="en-GB"/>
              </w:rPr>
              <w:t xml:space="preserve"> politica in materia di conflitti di interesse</w:t>
            </w:r>
            <w:r>
              <w:rPr>
                <w:rFonts w:ascii="Times" w:eastAsia="Times New Roman" w:hAnsi="Times" w:cs="Times"/>
                <w:sz w:val="20"/>
                <w:szCs w:val="20"/>
                <w:lang w:eastAsia="en-GB"/>
              </w:rPr>
              <w:t>;</w:t>
            </w:r>
          </w:p>
        </w:tc>
        <w:tc>
          <w:tcPr>
            <w:tcW w:w="7513" w:type="dxa"/>
            <w:shd w:val="clear" w:color="auto" w:fill="FFFFFF" w:themeFill="background1"/>
          </w:tcPr>
          <w:p w14:paraId="5879E773"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1CE8A2B" w14:textId="77777777" w:rsidTr="00796739">
        <w:trPr>
          <w:trHeight w:val="340"/>
        </w:trPr>
        <w:tc>
          <w:tcPr>
            <w:tcW w:w="2726" w:type="dxa"/>
            <w:vMerge/>
            <w:shd w:val="clear" w:color="auto" w:fill="F2F2F2" w:themeFill="background1" w:themeFillShade="F2"/>
            <w:vAlign w:val="center"/>
          </w:tcPr>
          <w:p w14:paraId="3B99E8C5"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A83A922" w14:textId="77777777" w:rsidR="00E54B34" w:rsidRPr="000F5074" w:rsidRDefault="00E54B34" w:rsidP="00E54B34">
            <w:pPr>
              <w:spacing w:after="0" w:line="240" w:lineRule="auto"/>
              <w:jc w:val="both"/>
              <w:rPr>
                <w:rFonts w:ascii="Times" w:eastAsia="Times New Roman" w:hAnsi="Times" w:cs="Times"/>
                <w:sz w:val="20"/>
                <w:szCs w:val="20"/>
                <w:lang w:eastAsia="en-GB"/>
              </w:rPr>
            </w:pPr>
            <w:r w:rsidRPr="000F5074">
              <w:rPr>
                <w:rFonts w:ascii="Times" w:eastAsia="Times New Roman" w:hAnsi="Times" w:cs="Times"/>
                <w:sz w:val="20"/>
                <w:szCs w:val="20"/>
                <w:lang w:eastAsia="en-GB"/>
              </w:rPr>
              <w:t xml:space="preserve">(i) </w:t>
            </w:r>
            <w:r>
              <w:t xml:space="preserve"> </w:t>
            </w:r>
            <w:r w:rsidRPr="005C79EA">
              <w:rPr>
                <w:rFonts w:ascii="Times" w:eastAsia="Times New Roman" w:hAnsi="Times" w:cs="Times"/>
                <w:sz w:val="20"/>
                <w:szCs w:val="20"/>
                <w:lang w:eastAsia="en-GB"/>
              </w:rPr>
              <w:t>informazioni sul tempo che sarà dedicato allo svolgimento delle funzioni del membro in seno al richiedente, compresi tutti gli elementi seguenti</w:t>
            </w:r>
            <w:r w:rsidRPr="000F5074">
              <w:rPr>
                <w:rFonts w:ascii="Times" w:eastAsia="Times New Roman" w:hAnsi="Times" w:cs="Times"/>
                <w:sz w:val="20"/>
                <w:szCs w:val="20"/>
                <w:lang w:eastAsia="en-GB"/>
              </w:rPr>
              <w:t xml:space="preserve">: </w:t>
            </w:r>
          </w:p>
          <w:p w14:paraId="47FC2F7A" w14:textId="77777777" w:rsidR="00E54B34" w:rsidRPr="0080402F"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il tempo minimo stimato, per anno e per mese, che il membro dedicherà allo svolgimento delle proprie funzioni in seno al richiedente</w:t>
            </w:r>
            <w:r w:rsidRPr="0080402F">
              <w:rPr>
                <w:rFonts w:ascii="Times" w:eastAsia="Times New Roman" w:hAnsi="Times" w:cs="Times"/>
                <w:lang w:val="it-IT"/>
              </w:rPr>
              <w:t xml:space="preserve">; </w:t>
            </w:r>
          </w:p>
          <w:p w14:paraId="30B64904" w14:textId="77777777" w:rsidR="00E54B34" w:rsidRPr="00DC780A"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un elenco degli altri incarichi di amministratore esecutivo e non esecutivo che il membro detiene, con riferimento ad attività commerciali e non commerciali o istituiti al solo scopo di gestire gli interessi economici del membro in questione</w:t>
            </w:r>
            <w:r>
              <w:rPr>
                <w:rFonts w:ascii="Times" w:eastAsia="Times New Roman" w:hAnsi="Times" w:cs="Times"/>
                <w:lang w:val="it-IT"/>
              </w:rPr>
              <w:t>;</w:t>
            </w:r>
            <w:r w:rsidRPr="00DC780A">
              <w:rPr>
                <w:rFonts w:ascii="Times" w:eastAsia="Times New Roman" w:hAnsi="Times" w:cs="Times"/>
                <w:lang w:val="it-IT"/>
              </w:rPr>
              <w:t xml:space="preserve"> </w:t>
            </w:r>
          </w:p>
          <w:p w14:paraId="5C1BF54B" w14:textId="77777777" w:rsidR="00E54B34" w:rsidRPr="005A3EFB"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informazioni sulle dimensioni e sulla complessità delle società o organizzazioni in cui sono detenuti gli incarichi di amministratore di cui al punto ii), compresi le attività totali, sulla base degli ultimi conti annuali disponibili, indipendentemente dal fatto che la società sia quotata o meno, e il numero di dipendenti di tali società o organizzazioni</w:t>
            </w:r>
            <w:r w:rsidRPr="005A3EFB">
              <w:rPr>
                <w:rFonts w:ascii="Times" w:eastAsia="Times New Roman" w:hAnsi="Times" w:cs="Times"/>
                <w:lang w:val="it-IT"/>
              </w:rPr>
              <w:t>;</w:t>
            </w:r>
          </w:p>
          <w:p w14:paraId="379E2C18" w14:textId="77777777" w:rsidR="00E54B34" w:rsidRPr="00872A3A"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 xml:space="preserve">un elenco di eventuali responsabilità aggiuntive connesse agli incarichi di amministratore di cui al punto ii), compresa la presidenza di un comitato; </w:t>
            </w:r>
          </w:p>
          <w:p w14:paraId="4A0E5322" w14:textId="77777777" w:rsidR="00E54B34" w:rsidRPr="004F599E" w:rsidRDefault="00E54B34" w:rsidP="00E54B34">
            <w:pPr>
              <w:pStyle w:val="Paragrafoelenco"/>
              <w:numPr>
                <w:ilvl w:val="0"/>
                <w:numId w:val="10"/>
              </w:numPr>
              <w:spacing w:after="0" w:line="240" w:lineRule="auto"/>
              <w:contextualSpacing w:val="0"/>
              <w:jc w:val="both"/>
              <w:rPr>
                <w:rFonts w:ascii="Times" w:eastAsia="Times New Roman" w:hAnsi="Times" w:cs="Times"/>
                <w:lang w:val="it-IT"/>
              </w:rPr>
            </w:pPr>
            <w:r w:rsidRPr="00872A3A">
              <w:rPr>
                <w:rFonts w:ascii="Times" w:eastAsia="Times New Roman" w:hAnsi="Times" w:cs="Times"/>
                <w:lang w:val="it-IT"/>
              </w:rPr>
              <w:t xml:space="preserve">il tempo stimato, espresso in giorni per anno, dedicato a ciascuno degli altri incarichi di amministratore di cui al punto ii) e il numero </w:t>
            </w:r>
            <w:r w:rsidRPr="00872A3A">
              <w:rPr>
                <w:rFonts w:ascii="Times" w:eastAsia="Times New Roman" w:hAnsi="Times" w:cs="Times"/>
                <w:lang w:val="it-IT"/>
              </w:rPr>
              <w:lastRenderedPageBreak/>
              <w:t>di riunioni per anno dedicate a ciascun mandato</w:t>
            </w:r>
            <w:r>
              <w:rPr>
                <w:rFonts w:ascii="Times" w:eastAsia="Times New Roman" w:hAnsi="Times" w:cs="Times"/>
                <w:lang w:val="it-IT"/>
              </w:rPr>
              <w:t>;</w:t>
            </w:r>
          </w:p>
        </w:tc>
        <w:tc>
          <w:tcPr>
            <w:tcW w:w="7513" w:type="dxa"/>
            <w:shd w:val="clear" w:color="auto" w:fill="FFFFFF" w:themeFill="background1"/>
          </w:tcPr>
          <w:p w14:paraId="229824F5"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7A259044" w14:textId="77777777" w:rsidTr="00796739">
        <w:trPr>
          <w:trHeight w:val="624"/>
        </w:trPr>
        <w:tc>
          <w:tcPr>
            <w:tcW w:w="2726" w:type="dxa"/>
            <w:shd w:val="clear" w:color="auto" w:fill="F2F2F2" w:themeFill="background1" w:themeFillShade="F2"/>
            <w:vAlign w:val="center"/>
          </w:tcPr>
          <w:p w14:paraId="2B97722F" w14:textId="77777777" w:rsidR="00E54B34" w:rsidRPr="00AC1831" w:rsidRDefault="00E54B34" w:rsidP="00E54B34">
            <w:pPr>
              <w:spacing w:after="0" w:line="240" w:lineRule="auto"/>
              <w:jc w:val="both"/>
              <w:rPr>
                <w:rFonts w:ascii="Times" w:hAnsi="Times" w:cs="Times"/>
                <w:b/>
                <w:bCs/>
                <w:color w:val="FFFFFF" w:themeColor="background1"/>
              </w:rPr>
            </w:pPr>
            <w:r w:rsidRPr="00D456BD">
              <w:rPr>
                <w:rFonts w:ascii="Times" w:hAnsi="Times" w:cs="Times"/>
                <w:b/>
                <w:bCs/>
                <w:sz w:val="20"/>
                <w:szCs w:val="20"/>
              </w:rPr>
              <w:t xml:space="preserve">2. Verifica </w:t>
            </w:r>
            <w:r>
              <w:rPr>
                <w:rFonts w:ascii="Times" w:hAnsi="Times" w:cs="Times"/>
                <w:b/>
                <w:bCs/>
                <w:sz w:val="20"/>
                <w:szCs w:val="20"/>
              </w:rPr>
              <w:t>dell’</w:t>
            </w:r>
            <w:r w:rsidRPr="00D456BD">
              <w:rPr>
                <w:rFonts w:ascii="Times" w:hAnsi="Times" w:cs="Times"/>
                <w:b/>
                <w:bCs/>
                <w:sz w:val="20"/>
                <w:szCs w:val="20"/>
              </w:rPr>
              <w:t>idoneità dei membri dell’organo di amministrazione</w:t>
            </w:r>
          </w:p>
        </w:tc>
        <w:tc>
          <w:tcPr>
            <w:tcW w:w="4640" w:type="dxa"/>
            <w:shd w:val="clear" w:color="auto" w:fill="F2F2F2" w:themeFill="background1" w:themeFillShade="F2"/>
          </w:tcPr>
          <w:p w14:paraId="6C043164" w14:textId="77777777" w:rsidR="00E54B34" w:rsidRPr="00AC1831" w:rsidRDefault="00E54B34" w:rsidP="00E54B34">
            <w:pPr>
              <w:spacing w:after="0" w:line="240" w:lineRule="auto"/>
              <w:jc w:val="both"/>
              <w:rPr>
                <w:rFonts w:ascii="Times" w:hAnsi="Times" w:cs="Times"/>
                <w:b/>
                <w:bCs/>
                <w:color w:val="FFFFFF" w:themeColor="background1"/>
              </w:rPr>
            </w:pPr>
            <w:r w:rsidRPr="00872A3A">
              <w:rPr>
                <w:rFonts w:ascii="Times" w:eastAsia="Times New Roman" w:hAnsi="Times" w:cs="Times"/>
                <w:sz w:val="20"/>
                <w:szCs w:val="20"/>
                <w:lang w:eastAsia="en-GB"/>
              </w:rPr>
              <w:t>Il richiedente che chiede l’autorizzazione come prestatore di servizi per le cripto-attività conformemente all’articolo 62 del regolamento (UE) 2023/1114 fornisce all’autorità competente i risultati di qualsiasi valutazione dell’idoneità di ciascun membro dell’organo di amministrazione effettuata dal richiedente e i risultati della valutazione dell’idoneità collettiva dell’organo di amministrazione, compresi la relazione sulla valutazione di idoneità o i documenti sull’esito della valutazione di idoneità</w:t>
            </w:r>
            <w:r>
              <w:rPr>
                <w:rFonts w:ascii="Times" w:eastAsia="Times New Roman" w:hAnsi="Times" w:cs="Times"/>
                <w:sz w:val="20"/>
                <w:szCs w:val="20"/>
                <w:lang w:eastAsia="en-GB"/>
              </w:rPr>
              <w:t>.</w:t>
            </w:r>
          </w:p>
        </w:tc>
        <w:tc>
          <w:tcPr>
            <w:tcW w:w="7513" w:type="dxa"/>
            <w:shd w:val="clear" w:color="auto" w:fill="FFFFFF" w:themeFill="background1"/>
          </w:tcPr>
          <w:p w14:paraId="454B7072" w14:textId="4DC59AED"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4BA30BE5" w14:textId="77777777" w:rsidTr="00796739">
        <w:trPr>
          <w:trHeight w:val="624"/>
        </w:trPr>
        <w:tc>
          <w:tcPr>
            <w:tcW w:w="2726" w:type="dxa"/>
            <w:shd w:val="clear" w:color="auto" w:fill="DEEAF6" w:themeFill="accent1" w:themeFillTint="33"/>
            <w:vAlign w:val="center"/>
          </w:tcPr>
          <w:p w14:paraId="0E1C6C27" w14:textId="77777777" w:rsidR="00E54B34" w:rsidRPr="00D456BD" w:rsidRDefault="00E54B34" w:rsidP="00E54B34">
            <w:pPr>
              <w:spacing w:after="0" w:line="240" w:lineRule="auto"/>
              <w:jc w:val="both"/>
              <w:rPr>
                <w:rFonts w:ascii="Times" w:hAnsi="Times" w:cs="Times"/>
                <w:b/>
                <w:bCs/>
                <w:sz w:val="20"/>
                <w:szCs w:val="20"/>
              </w:rPr>
            </w:pPr>
            <w:r w:rsidRPr="000057D4">
              <w:rPr>
                <w:rFonts w:ascii="Times" w:hAnsi="Times" w:cs="Times"/>
                <w:b/>
                <w:bCs/>
                <w:sz w:val="20"/>
                <w:szCs w:val="20"/>
              </w:rPr>
              <w:t xml:space="preserve">Integrazioni </w:t>
            </w:r>
            <w:r>
              <w:rPr>
                <w:rFonts w:ascii="Times" w:hAnsi="Times" w:cs="Times"/>
                <w:b/>
                <w:bCs/>
                <w:sz w:val="20"/>
                <w:szCs w:val="20"/>
              </w:rPr>
              <w:t>necessarie in caso di istanza come PSP</w:t>
            </w:r>
          </w:p>
        </w:tc>
        <w:tc>
          <w:tcPr>
            <w:tcW w:w="4640" w:type="dxa"/>
            <w:shd w:val="clear" w:color="auto" w:fill="DEEAF6" w:themeFill="accent1" w:themeFillTint="33"/>
          </w:tcPr>
          <w:p w14:paraId="736DD9EC" w14:textId="77777777" w:rsidR="00E54B34" w:rsidRPr="00F140D9" w:rsidRDefault="00E54B34" w:rsidP="00E54B34">
            <w:pPr>
              <w:spacing w:after="0" w:line="240" w:lineRule="auto"/>
              <w:jc w:val="both"/>
              <w:rPr>
                <w:rFonts w:ascii="Times" w:eastAsia="Times New Roman" w:hAnsi="Times" w:cs="Times"/>
                <w:iCs/>
                <w:sz w:val="18"/>
                <w:szCs w:val="18"/>
              </w:rPr>
            </w:pPr>
            <w:r w:rsidRPr="00F140D9">
              <w:rPr>
                <w:rFonts w:ascii="Times" w:eastAsia="Times New Roman" w:hAnsi="Times" w:cs="Times"/>
                <w:iCs/>
                <w:sz w:val="20"/>
                <w:szCs w:val="20"/>
              </w:rPr>
              <w:t xml:space="preserve">I CASP che prestano servizi per le cripto-attività relativi a EMT qualificabili come servizi di pagamento ai sensi dell’Opinion sono da equipararsi, per la valutazione dei requisiti degli esponenti, agli IMEL e agli “IP rilevanti per la natura specifica dell’attività svolta”. </w:t>
            </w:r>
            <w:r w:rsidRPr="00F140D9">
              <w:rPr>
                <w:rFonts w:ascii="Times New Roman" w:eastAsia="Times New Roman" w:hAnsi="Times New Roman" w:cs="Times New Roman"/>
                <w:i/>
                <w:color w:val="2E74B5" w:themeColor="accent1" w:themeShade="BF"/>
                <w:sz w:val="20"/>
                <w:szCs w:val="20"/>
                <w:lang w:eastAsia="en-GB"/>
              </w:rPr>
              <w:t xml:space="preserve"> </w:t>
            </w:r>
            <w:r w:rsidRPr="00F140D9">
              <w:rPr>
                <w:rFonts w:ascii="Times" w:eastAsia="Times New Roman" w:hAnsi="Times" w:cs="Times"/>
                <w:iCs/>
                <w:sz w:val="20"/>
                <w:szCs w:val="20"/>
              </w:rPr>
              <w:t xml:space="preserve">Pertanto, </w:t>
            </w:r>
            <w:r>
              <w:rPr>
                <w:rFonts w:ascii="Times" w:eastAsia="Times New Roman" w:hAnsi="Times" w:cs="Times"/>
                <w:iCs/>
                <w:sz w:val="20"/>
                <w:szCs w:val="20"/>
              </w:rPr>
              <w:t>i</w:t>
            </w:r>
            <w:r w:rsidRPr="007D69CB">
              <w:rPr>
                <w:rFonts w:ascii="Times" w:eastAsia="Times New Roman" w:hAnsi="Times" w:cs="Times"/>
                <w:iCs/>
                <w:sz w:val="20"/>
                <w:szCs w:val="20"/>
              </w:rPr>
              <w:t xml:space="preserve"> CASP </w:t>
            </w:r>
            <w:r>
              <w:rPr>
                <w:rFonts w:ascii="Times" w:eastAsia="Times New Roman" w:hAnsi="Times" w:cs="Times"/>
                <w:iCs/>
                <w:sz w:val="20"/>
                <w:szCs w:val="20"/>
              </w:rPr>
              <w:t>che intendono richiedere autorizzazione anche come PSP</w:t>
            </w:r>
            <w:r w:rsidRPr="007D69CB">
              <w:rPr>
                <w:rFonts w:ascii="Times" w:eastAsia="Times New Roman" w:hAnsi="Times" w:cs="Times"/>
                <w:iCs/>
                <w:sz w:val="20"/>
                <w:szCs w:val="20"/>
              </w:rPr>
              <w:t xml:space="preserve"> </w:t>
            </w:r>
            <w:r w:rsidRPr="00F140D9">
              <w:rPr>
                <w:rFonts w:ascii="Times" w:eastAsia="Times New Roman" w:hAnsi="Times" w:cs="Times"/>
                <w:iCs/>
                <w:sz w:val="20"/>
                <w:szCs w:val="20"/>
              </w:rPr>
              <w:t>devono trasmettere la documentazione che comprovi il rispetto da parte degli esponenti dei requisiti previsti per i PSP in quanto più estesi (e cioè rilevanza di tutte le fattispecie di reato per la comprova dell’onorabilità e della correttezza, requisiti di professionalità e indipendenza di giudizio, nonché del criterio di competenza).</w:t>
            </w:r>
          </w:p>
        </w:tc>
        <w:tc>
          <w:tcPr>
            <w:tcW w:w="7513" w:type="dxa"/>
            <w:shd w:val="clear" w:color="auto" w:fill="DEEAF6" w:themeFill="accent1" w:themeFillTint="33"/>
          </w:tcPr>
          <w:p w14:paraId="584E370E" w14:textId="09B0194C"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7541C938" w14:textId="77777777" w:rsidTr="00A745F9">
        <w:trPr>
          <w:trHeight w:val="482"/>
        </w:trPr>
        <w:tc>
          <w:tcPr>
            <w:tcW w:w="14879" w:type="dxa"/>
            <w:gridSpan w:val="3"/>
            <w:shd w:val="clear" w:color="auto" w:fill="2E74B5" w:themeFill="accent1" w:themeFillShade="BF"/>
            <w:vAlign w:val="center"/>
          </w:tcPr>
          <w:p w14:paraId="490C3B0A" w14:textId="77777777" w:rsidR="00E54B34" w:rsidRPr="005061C3" w:rsidRDefault="00E54B34" w:rsidP="00E54B34">
            <w:pPr>
              <w:pStyle w:val="Paragrafoelenco"/>
              <w:numPr>
                <w:ilvl w:val="0"/>
                <w:numId w:val="30"/>
              </w:numPr>
              <w:spacing w:after="0" w:line="240" w:lineRule="auto"/>
              <w:jc w:val="both"/>
              <w:rPr>
                <w:rFonts w:ascii="Times" w:hAnsi="Times" w:cs="Times"/>
                <w:b/>
                <w:bCs/>
                <w:color w:val="FFFFFF" w:themeColor="background1"/>
                <w:lang w:val="it-IT"/>
              </w:rPr>
            </w:pPr>
            <w:r w:rsidRPr="00D456BD">
              <w:rPr>
                <w:rFonts w:ascii="Times" w:hAnsi="Times" w:cs="Times"/>
                <w:b/>
                <w:bCs/>
                <w:color w:val="FFFFFF" w:themeColor="background1"/>
                <w:lang w:val="it-IT"/>
              </w:rPr>
              <w:t xml:space="preserve">INFORMAZIONI </w:t>
            </w:r>
            <w:r w:rsidRPr="007C723F">
              <w:rPr>
                <w:rFonts w:ascii="Times" w:hAnsi="Times" w:cs="Times"/>
                <w:b/>
                <w:bCs/>
                <w:color w:val="FFFFFF" w:themeColor="background1"/>
                <w:lang w:val="it-IT"/>
              </w:rPr>
              <w:t>RELATIVE AGLI AZIONISTI O AI SOCI CON PARTECIPAZIONE QUALIFICATA</w:t>
            </w:r>
          </w:p>
        </w:tc>
      </w:tr>
      <w:tr w:rsidR="00E54B34" w:rsidRPr="008B23C0" w14:paraId="77FE6FFA" w14:textId="77777777" w:rsidTr="00A745F9">
        <w:trPr>
          <w:trHeight w:val="397"/>
        </w:trPr>
        <w:tc>
          <w:tcPr>
            <w:tcW w:w="14879" w:type="dxa"/>
            <w:gridSpan w:val="3"/>
            <w:shd w:val="clear" w:color="auto" w:fill="F2F2F2" w:themeFill="background1" w:themeFillShade="F2"/>
            <w:vAlign w:val="center"/>
          </w:tcPr>
          <w:p w14:paraId="2CE41977" w14:textId="77777777" w:rsidR="00C54B9B" w:rsidRDefault="00C54B9B" w:rsidP="00C54B9B">
            <w:pPr>
              <w:spacing w:after="0" w:line="240" w:lineRule="auto"/>
              <w:jc w:val="both"/>
              <w:rPr>
                <w:rFonts w:ascii="Times" w:hAnsi="Times" w:cs="Times"/>
                <w:bCs/>
                <w:i/>
                <w:sz w:val="20"/>
                <w:szCs w:val="20"/>
              </w:rPr>
            </w:pPr>
            <w:r w:rsidRPr="00075F4B">
              <w:rPr>
                <w:rFonts w:ascii="Times" w:hAnsi="Times" w:cs="Times"/>
                <w:bCs/>
                <w:i/>
                <w:sz w:val="20"/>
                <w:szCs w:val="20"/>
              </w:rPr>
              <w:t xml:space="preserve">Il Regolamento </w:t>
            </w:r>
            <w:proofErr w:type="spellStart"/>
            <w:r w:rsidRPr="00075F4B">
              <w:rPr>
                <w:rFonts w:ascii="Times" w:hAnsi="Times" w:cs="Times"/>
                <w:bCs/>
                <w:i/>
                <w:sz w:val="20"/>
                <w:szCs w:val="20"/>
              </w:rPr>
              <w:t>MiCA</w:t>
            </w:r>
            <w:proofErr w:type="spellEnd"/>
            <w:r w:rsidRPr="00075F4B">
              <w:rPr>
                <w:rFonts w:ascii="Times" w:hAnsi="Times" w:cs="Times"/>
                <w:bCs/>
                <w:i/>
                <w:sz w:val="20"/>
                <w:szCs w:val="20"/>
              </w:rPr>
              <w:t xml:space="preserve">, congiuntamente con gli RTS ESMA under art. 62(5) </w:t>
            </w:r>
            <w:proofErr w:type="spellStart"/>
            <w:r w:rsidRPr="00075F4B">
              <w:rPr>
                <w:rFonts w:ascii="Times" w:hAnsi="Times" w:cs="Times"/>
                <w:bCs/>
                <w:i/>
                <w:sz w:val="20"/>
                <w:szCs w:val="20"/>
              </w:rPr>
              <w:t>MiCAR</w:t>
            </w:r>
            <w:proofErr w:type="spellEnd"/>
            <w:r w:rsidRPr="00075F4B">
              <w:rPr>
                <w:rFonts w:ascii="Times" w:hAnsi="Times" w:cs="Times"/>
                <w:bCs/>
                <w:i/>
                <w:sz w:val="20"/>
                <w:szCs w:val="20"/>
              </w:rPr>
              <w:t xml:space="preserve"> (art. 8), gli RTS ESMA under art. 84 (4) </w:t>
            </w:r>
            <w:proofErr w:type="spellStart"/>
            <w:r w:rsidRPr="00075F4B">
              <w:rPr>
                <w:rFonts w:ascii="Times" w:hAnsi="Times" w:cs="Times"/>
                <w:bCs/>
                <w:i/>
                <w:sz w:val="20"/>
                <w:szCs w:val="20"/>
              </w:rPr>
              <w:t>MiCAR</w:t>
            </w:r>
            <w:proofErr w:type="spellEnd"/>
            <w:r w:rsidRPr="00075F4B">
              <w:rPr>
                <w:rFonts w:ascii="Times" w:hAnsi="Times" w:cs="Times"/>
                <w:bCs/>
                <w:i/>
                <w:sz w:val="20"/>
                <w:szCs w:val="20"/>
              </w:rPr>
              <w:t xml:space="preserve"> e le Joint </w:t>
            </w:r>
            <w:proofErr w:type="spellStart"/>
            <w:r w:rsidRPr="00075F4B">
              <w:rPr>
                <w:rFonts w:ascii="Times" w:hAnsi="Times" w:cs="Times"/>
                <w:bCs/>
                <w:i/>
                <w:sz w:val="20"/>
                <w:szCs w:val="20"/>
              </w:rPr>
              <w:t>GLs</w:t>
            </w:r>
            <w:proofErr w:type="spellEnd"/>
            <w:r w:rsidRPr="00075F4B">
              <w:rPr>
                <w:rFonts w:ascii="Times" w:hAnsi="Times" w:cs="Times"/>
                <w:bCs/>
                <w:i/>
                <w:sz w:val="20"/>
                <w:szCs w:val="20"/>
              </w:rPr>
              <w:t xml:space="preserve"> on the </w:t>
            </w:r>
            <w:proofErr w:type="spellStart"/>
            <w:r w:rsidRPr="00075F4B">
              <w:rPr>
                <w:rFonts w:ascii="Times" w:hAnsi="Times" w:cs="Times"/>
                <w:bCs/>
                <w:i/>
                <w:sz w:val="20"/>
                <w:szCs w:val="20"/>
              </w:rPr>
              <w:t>suitability</w:t>
            </w:r>
            <w:proofErr w:type="spellEnd"/>
            <w:r w:rsidRPr="00075F4B">
              <w:rPr>
                <w:rFonts w:ascii="Times" w:hAnsi="Times" w:cs="Times"/>
                <w:bCs/>
                <w:i/>
                <w:sz w:val="20"/>
                <w:szCs w:val="20"/>
              </w:rPr>
              <w:t xml:space="preserve"> </w:t>
            </w:r>
            <w:proofErr w:type="spellStart"/>
            <w:r w:rsidRPr="00075F4B">
              <w:rPr>
                <w:rFonts w:ascii="Times" w:hAnsi="Times" w:cs="Times"/>
                <w:bCs/>
                <w:i/>
                <w:sz w:val="20"/>
                <w:szCs w:val="20"/>
              </w:rPr>
              <w:t>assessment</w:t>
            </w:r>
            <w:proofErr w:type="spellEnd"/>
            <w:r w:rsidRPr="00075F4B">
              <w:rPr>
                <w:rFonts w:ascii="Times" w:hAnsi="Times" w:cs="Times"/>
                <w:bCs/>
                <w:i/>
                <w:sz w:val="20"/>
                <w:szCs w:val="20"/>
              </w:rPr>
              <w:t xml:space="preserve"> of </w:t>
            </w:r>
            <w:proofErr w:type="spellStart"/>
            <w:r w:rsidRPr="00075F4B">
              <w:rPr>
                <w:rFonts w:ascii="Times" w:hAnsi="Times" w:cs="Times"/>
                <w:bCs/>
                <w:i/>
                <w:sz w:val="20"/>
                <w:szCs w:val="20"/>
              </w:rPr>
              <w:t>members</w:t>
            </w:r>
            <w:proofErr w:type="spellEnd"/>
            <w:r w:rsidRPr="00075F4B">
              <w:rPr>
                <w:rFonts w:ascii="Times" w:hAnsi="Times" w:cs="Times"/>
                <w:bCs/>
                <w:i/>
                <w:sz w:val="20"/>
                <w:szCs w:val="20"/>
              </w:rPr>
              <w:t xml:space="preserve"> of shareholders and </w:t>
            </w:r>
            <w:proofErr w:type="spellStart"/>
            <w:r w:rsidRPr="00075F4B">
              <w:rPr>
                <w:rFonts w:ascii="Times" w:hAnsi="Times" w:cs="Times"/>
                <w:bCs/>
                <w:i/>
                <w:sz w:val="20"/>
                <w:szCs w:val="20"/>
              </w:rPr>
              <w:t>members</w:t>
            </w:r>
            <w:proofErr w:type="spellEnd"/>
            <w:r w:rsidRPr="00075F4B">
              <w:rPr>
                <w:rFonts w:ascii="Times" w:hAnsi="Times" w:cs="Times"/>
                <w:bCs/>
                <w:i/>
                <w:sz w:val="20"/>
                <w:szCs w:val="20"/>
              </w:rPr>
              <w:t xml:space="preserve"> with </w:t>
            </w:r>
            <w:proofErr w:type="spellStart"/>
            <w:r w:rsidRPr="00075F4B">
              <w:rPr>
                <w:rFonts w:ascii="Times" w:hAnsi="Times" w:cs="Times"/>
                <w:bCs/>
                <w:i/>
                <w:sz w:val="20"/>
                <w:szCs w:val="20"/>
              </w:rPr>
              <w:t>direct</w:t>
            </w:r>
            <w:proofErr w:type="spellEnd"/>
            <w:r w:rsidRPr="00075F4B">
              <w:rPr>
                <w:rFonts w:ascii="Times" w:hAnsi="Times" w:cs="Times"/>
                <w:bCs/>
                <w:i/>
                <w:sz w:val="20"/>
                <w:szCs w:val="20"/>
              </w:rPr>
              <w:t xml:space="preserve"> or </w:t>
            </w:r>
            <w:proofErr w:type="spellStart"/>
            <w:r w:rsidRPr="00075F4B">
              <w:rPr>
                <w:rFonts w:ascii="Times" w:hAnsi="Times" w:cs="Times"/>
                <w:bCs/>
                <w:i/>
                <w:sz w:val="20"/>
                <w:szCs w:val="20"/>
              </w:rPr>
              <w:t>indirect</w:t>
            </w:r>
            <w:proofErr w:type="spellEnd"/>
            <w:r w:rsidRPr="00075F4B">
              <w:rPr>
                <w:rFonts w:ascii="Times" w:hAnsi="Times" w:cs="Times"/>
                <w:bCs/>
                <w:i/>
                <w:sz w:val="20"/>
                <w:szCs w:val="20"/>
              </w:rPr>
              <w:t xml:space="preserve"> </w:t>
            </w:r>
            <w:proofErr w:type="spellStart"/>
            <w:r w:rsidRPr="00075F4B">
              <w:rPr>
                <w:rFonts w:ascii="Times" w:hAnsi="Times" w:cs="Times"/>
                <w:bCs/>
                <w:i/>
                <w:sz w:val="20"/>
                <w:szCs w:val="20"/>
              </w:rPr>
              <w:t>qualifying</w:t>
            </w:r>
            <w:proofErr w:type="spellEnd"/>
            <w:r w:rsidRPr="00075F4B">
              <w:rPr>
                <w:rFonts w:ascii="Times" w:hAnsi="Times" w:cs="Times"/>
                <w:bCs/>
                <w:i/>
                <w:sz w:val="20"/>
                <w:szCs w:val="20"/>
              </w:rPr>
              <w:t xml:space="preserve"> holdings, definisce come partecipazioni qualificate quelle pari ad almeno il 10% (art. 3 </w:t>
            </w:r>
            <w:proofErr w:type="spellStart"/>
            <w:r w:rsidRPr="00075F4B">
              <w:rPr>
                <w:rFonts w:ascii="Times" w:hAnsi="Times" w:cs="Times"/>
                <w:bCs/>
                <w:i/>
                <w:sz w:val="20"/>
                <w:szCs w:val="20"/>
              </w:rPr>
              <w:t>MiCAR</w:t>
            </w:r>
            <w:proofErr w:type="spellEnd"/>
            <w:r w:rsidRPr="00075F4B">
              <w:rPr>
                <w:rFonts w:ascii="Times" w:hAnsi="Times" w:cs="Times"/>
                <w:bCs/>
                <w:i/>
                <w:sz w:val="20"/>
                <w:szCs w:val="20"/>
              </w:rPr>
              <w:t>), da valutare secondo il criterio del controllo e il criterio del moltiplicatore</w:t>
            </w:r>
            <w:r w:rsidRPr="00075F4B">
              <w:rPr>
                <w:rStyle w:val="Rimandonotaapidipagina"/>
                <w:rFonts w:ascii="Times New Roman" w:hAnsi="Times New Roman" w:cs="Times New Roman"/>
                <w:i/>
                <w:sz w:val="20"/>
                <w:szCs w:val="20"/>
              </w:rPr>
              <w:footnoteReference w:id="5"/>
            </w:r>
            <w:r w:rsidRPr="00075F4B">
              <w:rPr>
                <w:rFonts w:ascii="Times" w:hAnsi="Times" w:cs="Times"/>
                <w:bCs/>
                <w:i/>
                <w:sz w:val="20"/>
                <w:szCs w:val="20"/>
              </w:rPr>
              <w:t>. Inoltre, occorre prestare particolare attenzione ai casi in cui i soci possono avere un'influenza significativa sul CASP.</w:t>
            </w:r>
          </w:p>
          <w:p w14:paraId="45B1B0BD" w14:textId="3115B32F" w:rsidR="00C54B9B" w:rsidRPr="00075F4B" w:rsidRDefault="00C54B9B" w:rsidP="00C54B9B">
            <w:pPr>
              <w:spacing w:after="0" w:line="240" w:lineRule="auto"/>
              <w:jc w:val="both"/>
              <w:rPr>
                <w:rFonts w:ascii="Times" w:hAnsi="Times" w:cs="Times"/>
                <w:bCs/>
                <w:i/>
                <w:sz w:val="20"/>
                <w:szCs w:val="20"/>
              </w:rPr>
            </w:pPr>
            <w:r>
              <w:rPr>
                <w:rFonts w:ascii="Times" w:hAnsi="Times" w:cs="Times"/>
                <w:bCs/>
                <w:i/>
                <w:sz w:val="20"/>
                <w:szCs w:val="20"/>
              </w:rPr>
              <w:lastRenderedPageBreak/>
              <w:t>In particolare,</w:t>
            </w:r>
            <w:r w:rsidRPr="00B372DC">
              <w:rPr>
                <w:rFonts w:ascii="Times" w:hAnsi="Times" w:cs="Times"/>
                <w:bCs/>
                <w:i/>
                <w:sz w:val="20"/>
                <w:szCs w:val="20"/>
              </w:rPr>
              <w:t xml:space="preserve"> l’Autorità competente valuta, ove opportuno secondo il principio di proporzionalità,</w:t>
            </w:r>
            <w:r>
              <w:rPr>
                <w:rFonts w:ascii="Times" w:hAnsi="Times" w:cs="Times"/>
                <w:bCs/>
                <w:i/>
                <w:sz w:val="20"/>
                <w:szCs w:val="20"/>
              </w:rPr>
              <w:t xml:space="preserve"> </w:t>
            </w:r>
            <w:r w:rsidRPr="00B372DC">
              <w:rPr>
                <w:rFonts w:ascii="Times" w:hAnsi="Times" w:cs="Times"/>
                <w:bCs/>
                <w:i/>
                <w:sz w:val="20"/>
                <w:szCs w:val="20"/>
              </w:rPr>
              <w:t>l’idoneità dei soggetti che, direttamente o indirettamente, detengono o acquistano partecipazioni qualificate e</w:t>
            </w:r>
            <w:r>
              <w:rPr>
                <w:rFonts w:ascii="Times" w:hAnsi="Times" w:cs="Times"/>
                <w:bCs/>
                <w:i/>
                <w:sz w:val="20"/>
                <w:szCs w:val="20"/>
              </w:rPr>
              <w:t xml:space="preserve"> </w:t>
            </w:r>
            <w:r w:rsidRPr="00B372DC">
              <w:rPr>
                <w:rFonts w:ascii="Times" w:hAnsi="Times" w:cs="Times"/>
                <w:bCs/>
                <w:i/>
                <w:sz w:val="20"/>
                <w:szCs w:val="20"/>
              </w:rPr>
              <w:t xml:space="preserve">la solidità finanziaria del progetto di acquisizione. La valutazione è effettuata sulla base dei seguenti criteri: la </w:t>
            </w:r>
            <w:r>
              <w:rPr>
                <w:rFonts w:ascii="Times" w:hAnsi="Times" w:cs="Times"/>
                <w:bCs/>
                <w:i/>
                <w:sz w:val="20"/>
                <w:szCs w:val="20"/>
              </w:rPr>
              <w:t xml:space="preserve"> </w:t>
            </w:r>
            <w:r w:rsidRPr="00B372DC">
              <w:rPr>
                <w:rFonts w:ascii="Times" w:hAnsi="Times" w:cs="Times"/>
                <w:bCs/>
                <w:i/>
                <w:sz w:val="20"/>
                <w:szCs w:val="20"/>
              </w:rPr>
              <w:t xml:space="preserve">reputazione del candidato acquirente; l’onorabilità, la correttezza e la competenza di coloro che, a seguito </w:t>
            </w:r>
            <w:r>
              <w:rPr>
                <w:rFonts w:ascii="Times" w:hAnsi="Times" w:cs="Times"/>
                <w:bCs/>
                <w:i/>
                <w:sz w:val="20"/>
                <w:szCs w:val="20"/>
              </w:rPr>
              <w:t xml:space="preserve"> </w:t>
            </w:r>
            <w:r w:rsidRPr="00B372DC">
              <w:rPr>
                <w:rFonts w:ascii="Times" w:hAnsi="Times" w:cs="Times"/>
                <w:bCs/>
                <w:i/>
                <w:sz w:val="20"/>
                <w:szCs w:val="20"/>
              </w:rPr>
              <w:t>dell’acquisizione, svolgeranno funzioni di amministrazione e direzione nel CASP; la</w:t>
            </w:r>
            <w:r>
              <w:rPr>
                <w:rFonts w:ascii="Times" w:hAnsi="Times" w:cs="Times"/>
                <w:bCs/>
                <w:i/>
                <w:sz w:val="20"/>
                <w:szCs w:val="20"/>
              </w:rPr>
              <w:t xml:space="preserve"> </w:t>
            </w:r>
            <w:r w:rsidRPr="00B372DC">
              <w:rPr>
                <w:rFonts w:ascii="Times" w:hAnsi="Times" w:cs="Times"/>
                <w:bCs/>
                <w:i/>
                <w:sz w:val="20"/>
                <w:szCs w:val="20"/>
              </w:rPr>
              <w:t xml:space="preserve">solidità finanziaria del candidato acquirente; la capacità  del CASP di rispettare a </w:t>
            </w:r>
            <w:r>
              <w:rPr>
                <w:rFonts w:ascii="Times" w:hAnsi="Times" w:cs="Times"/>
                <w:bCs/>
                <w:i/>
                <w:sz w:val="20"/>
                <w:szCs w:val="20"/>
              </w:rPr>
              <w:t xml:space="preserve"> </w:t>
            </w:r>
            <w:r w:rsidRPr="00B372DC">
              <w:rPr>
                <w:rFonts w:ascii="Times" w:hAnsi="Times" w:cs="Times"/>
                <w:bCs/>
                <w:i/>
                <w:sz w:val="20"/>
                <w:szCs w:val="20"/>
              </w:rPr>
              <w:t xml:space="preserve">seguito dell’acquisizione le disposizioni che ne regolano l’attività; la mancanza di un fondato sospetto che </w:t>
            </w:r>
            <w:r>
              <w:rPr>
                <w:rFonts w:ascii="Times" w:hAnsi="Times" w:cs="Times"/>
                <w:bCs/>
                <w:i/>
                <w:sz w:val="20"/>
                <w:szCs w:val="20"/>
              </w:rPr>
              <w:t xml:space="preserve"> </w:t>
            </w:r>
            <w:r w:rsidRPr="00B372DC">
              <w:rPr>
                <w:rFonts w:ascii="Times" w:hAnsi="Times" w:cs="Times"/>
                <w:bCs/>
                <w:i/>
                <w:sz w:val="20"/>
                <w:szCs w:val="20"/>
              </w:rPr>
              <w:t>l’acquisizione sia connessa ad operazioni di riciclaggio o di finanziamento del terrorismo o l’eventuale aumento del rischio di riciclaggio o finanziamento del terrorismo derivante dall’acquisizione</w:t>
            </w:r>
            <w:r>
              <w:rPr>
                <w:rFonts w:ascii="Times" w:hAnsi="Times" w:cs="Times"/>
                <w:bCs/>
                <w:i/>
                <w:sz w:val="20"/>
                <w:szCs w:val="20"/>
              </w:rPr>
              <w:t xml:space="preserve"> (si veda il </w:t>
            </w:r>
            <w:r>
              <w:rPr>
                <w:rFonts w:ascii="Times New Roman" w:eastAsia="Times New Roman" w:hAnsi="Times New Roman" w:cs="Times New Roman"/>
                <w:i/>
                <w:sz w:val="20"/>
                <w:szCs w:val="20"/>
                <w:lang w:eastAsia="en-GB"/>
              </w:rPr>
              <w:t>Capitolo 3, Sezione I delle Disposizioni della Banca d’Italia di attuazione dell’articolo 5, commi 1 e 3, del decreto legislativo 5 settembre 2024, n.129).</w:t>
            </w:r>
          </w:p>
          <w:p w14:paraId="4CD61994" w14:textId="0C79F01F" w:rsidR="00C54B9B" w:rsidRPr="00075F4B" w:rsidRDefault="00C54B9B" w:rsidP="00C54B9B">
            <w:pPr>
              <w:spacing w:after="0" w:line="240" w:lineRule="auto"/>
              <w:jc w:val="both"/>
              <w:rPr>
                <w:rFonts w:ascii="Times" w:hAnsi="Times" w:cs="Times"/>
                <w:bCs/>
                <w:i/>
                <w:sz w:val="20"/>
                <w:szCs w:val="20"/>
              </w:rPr>
            </w:pPr>
            <w:r w:rsidRPr="00075F4B">
              <w:rPr>
                <w:rFonts w:ascii="Times" w:hAnsi="Times" w:cs="Times"/>
                <w:bCs/>
                <w:i/>
                <w:sz w:val="20"/>
                <w:szCs w:val="20"/>
              </w:rPr>
              <w:t xml:space="preserve">Per la valutazione di onorabilità e correttezza si applica quanto previsto dal DM </w:t>
            </w:r>
            <w:r>
              <w:rPr>
                <w:rFonts w:ascii="Times" w:hAnsi="Times" w:cs="Times"/>
                <w:bCs/>
                <w:i/>
                <w:sz w:val="20"/>
                <w:szCs w:val="20"/>
              </w:rPr>
              <w:t>469</w:t>
            </w:r>
            <w:r w:rsidRPr="00075F4B">
              <w:rPr>
                <w:rFonts w:ascii="Times" w:hAnsi="Times" w:cs="Times"/>
                <w:bCs/>
                <w:i/>
                <w:sz w:val="20"/>
                <w:szCs w:val="20"/>
              </w:rPr>
              <w:t xml:space="preserve">/1998. </w:t>
            </w:r>
          </w:p>
          <w:p w14:paraId="4CA01137" w14:textId="77777777" w:rsidR="00C54B9B" w:rsidRPr="00075F4B" w:rsidRDefault="00C54B9B" w:rsidP="00C54B9B">
            <w:pPr>
              <w:spacing w:after="0" w:line="240" w:lineRule="auto"/>
              <w:jc w:val="both"/>
              <w:rPr>
                <w:rFonts w:ascii="Times" w:hAnsi="Times" w:cs="Times"/>
                <w:bCs/>
                <w:i/>
                <w:sz w:val="20"/>
                <w:szCs w:val="20"/>
              </w:rPr>
            </w:pPr>
            <w:r w:rsidRPr="00075F4B">
              <w:rPr>
                <w:rFonts w:ascii="Times" w:hAnsi="Times" w:cs="Times"/>
                <w:bCs/>
                <w:i/>
                <w:sz w:val="20"/>
                <w:szCs w:val="20"/>
              </w:rPr>
              <w:t xml:space="preserve">Le informazioni richieste per l'accertamento dei requisiti dei soci persone fisiche e degli esponenti dei soci persone giuridiche devono essere trasmesse mediante una dichiarazione sostitutiva redatta ai sensi del D.P.R. n. 445/2000. </w:t>
            </w:r>
          </w:p>
          <w:p w14:paraId="389CF20B" w14:textId="77777777" w:rsidR="00E54B34" w:rsidRPr="00C47544" w:rsidRDefault="00E54B34" w:rsidP="00E54B34">
            <w:pPr>
              <w:spacing w:after="0" w:line="240" w:lineRule="auto"/>
              <w:jc w:val="both"/>
              <w:rPr>
                <w:rFonts w:ascii="Times" w:eastAsia="Times New Roman" w:hAnsi="Times" w:cs="Times"/>
                <w:i/>
                <w:sz w:val="20"/>
                <w:szCs w:val="20"/>
                <w:lang w:eastAsia="en-GB"/>
              </w:rPr>
            </w:pPr>
          </w:p>
        </w:tc>
      </w:tr>
      <w:tr w:rsidR="00E54B34" w:rsidRPr="008B23C0" w14:paraId="42A82D7B" w14:textId="77777777" w:rsidTr="00111686">
        <w:trPr>
          <w:trHeight w:val="710"/>
        </w:trPr>
        <w:tc>
          <w:tcPr>
            <w:tcW w:w="7366" w:type="dxa"/>
            <w:gridSpan w:val="2"/>
            <w:shd w:val="clear" w:color="auto" w:fill="F2F2F2" w:themeFill="background1" w:themeFillShade="F2"/>
            <w:vAlign w:val="center"/>
          </w:tcPr>
          <w:p w14:paraId="771ABDCE" w14:textId="77777777" w:rsidR="00E54B34" w:rsidRPr="007C61CC" w:rsidRDefault="00E54B34" w:rsidP="00E54B34">
            <w:pPr>
              <w:spacing w:after="0" w:line="240" w:lineRule="auto"/>
              <w:jc w:val="both"/>
              <w:rPr>
                <w:rFonts w:ascii="Times" w:eastAsia="Times New Roman" w:hAnsi="Times" w:cs="Times"/>
                <w:iCs/>
                <w:sz w:val="20"/>
                <w:szCs w:val="20"/>
                <w:lang w:eastAsia="en-GB"/>
              </w:rPr>
            </w:pPr>
            <w:r w:rsidRPr="003C1903">
              <w:rPr>
                <w:rFonts w:ascii="Times" w:eastAsia="Times New Roman" w:hAnsi="Times" w:cs="Times"/>
                <w:iCs/>
                <w:sz w:val="20"/>
                <w:szCs w:val="20"/>
                <w:lang w:eastAsia="en-GB"/>
              </w:rPr>
              <w:lastRenderedPageBreak/>
              <w:t xml:space="preserve">Ai </w:t>
            </w:r>
            <w:r>
              <w:rPr>
                <w:rFonts w:ascii="Times" w:eastAsia="Times New Roman" w:hAnsi="Times" w:cs="Times"/>
                <w:iCs/>
                <w:sz w:val="20"/>
                <w:szCs w:val="20"/>
                <w:lang w:eastAsia="en-GB"/>
              </w:rPr>
              <w:t>sensi</w:t>
            </w:r>
            <w:r w:rsidRPr="003C1903">
              <w:rPr>
                <w:rFonts w:ascii="Times" w:eastAsia="Times New Roman" w:hAnsi="Times" w:cs="Times"/>
                <w:iCs/>
                <w:sz w:val="20"/>
                <w:szCs w:val="20"/>
                <w:lang w:eastAsia="en-GB"/>
              </w:rPr>
              <w:t xml:space="preserve"> dell’articolo 62, paragrafo 2, lettera h), del regolamento (UE) 2023/1114</w:t>
            </w:r>
            <w:r>
              <w:rPr>
                <w:rFonts w:ascii="Times" w:eastAsia="Times New Roman" w:hAnsi="Times" w:cs="Times"/>
                <w:iCs/>
                <w:sz w:val="20"/>
                <w:szCs w:val="20"/>
                <w:lang w:eastAsia="en-GB"/>
              </w:rPr>
              <w:t xml:space="preserve"> e dell’articolo 8 del regolamento delegato (UE) della Commissione 2025/305</w:t>
            </w:r>
            <w:r w:rsidRPr="003C1903">
              <w:rPr>
                <w:rFonts w:ascii="Times" w:eastAsia="Times New Roman" w:hAnsi="Times" w:cs="Times"/>
                <w:iCs/>
                <w:sz w:val="20"/>
                <w:szCs w:val="20"/>
                <w:lang w:eastAsia="en-GB"/>
              </w:rPr>
              <w:t>, i richiedenti forniscono all’autorità competente tutte le informazioni seguenti:</w:t>
            </w:r>
          </w:p>
        </w:tc>
        <w:tc>
          <w:tcPr>
            <w:tcW w:w="7513" w:type="dxa"/>
            <w:shd w:val="clear" w:color="auto" w:fill="F2F2F2" w:themeFill="background1" w:themeFillShade="F2"/>
            <w:vAlign w:val="center"/>
          </w:tcPr>
          <w:p w14:paraId="57F08EEE" w14:textId="77777777" w:rsidR="00E54B34" w:rsidRPr="00670157" w:rsidRDefault="00E54B34" w:rsidP="00E54B34">
            <w:pPr>
              <w:spacing w:after="0" w:line="240" w:lineRule="auto"/>
              <w:jc w:val="both"/>
              <w:rPr>
                <w:rFonts w:ascii="Times" w:eastAsia="Times New Roman" w:hAnsi="Times" w:cs="Times"/>
                <w:i/>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8, suddividendole in paragrafi.</w:t>
            </w:r>
          </w:p>
        </w:tc>
      </w:tr>
      <w:tr w:rsidR="00E54B34" w:rsidRPr="008B23C0" w14:paraId="771E2105" w14:textId="77777777" w:rsidTr="00796739">
        <w:trPr>
          <w:trHeight w:val="397"/>
        </w:trPr>
        <w:tc>
          <w:tcPr>
            <w:tcW w:w="2726" w:type="dxa"/>
            <w:vMerge w:val="restart"/>
            <w:shd w:val="clear" w:color="auto" w:fill="F2F2F2" w:themeFill="background1" w:themeFillShade="F2"/>
            <w:vAlign w:val="center"/>
          </w:tcPr>
          <w:p w14:paraId="48E5AC89" w14:textId="77777777" w:rsidR="00E54B34" w:rsidRPr="00670157" w:rsidRDefault="00E54B34" w:rsidP="00E54B34">
            <w:pPr>
              <w:spacing w:after="0" w:line="240" w:lineRule="auto"/>
              <w:jc w:val="both"/>
              <w:rPr>
                <w:rFonts w:ascii="Times" w:hAnsi="Times" w:cs="Times"/>
                <w:b/>
                <w:bCs/>
                <w:sz w:val="20"/>
                <w:szCs w:val="20"/>
              </w:rPr>
            </w:pPr>
            <w:r>
              <w:rPr>
                <w:rFonts w:ascii="Times" w:hAnsi="Times" w:cs="Times"/>
                <w:b/>
                <w:bCs/>
                <w:sz w:val="20"/>
                <w:szCs w:val="20"/>
              </w:rPr>
              <w:t xml:space="preserve">1. </w:t>
            </w:r>
            <w:r w:rsidRPr="000F5074">
              <w:rPr>
                <w:rFonts w:ascii="Times" w:hAnsi="Times" w:cs="Times"/>
                <w:b/>
                <w:bCs/>
                <w:sz w:val="20"/>
                <w:szCs w:val="20"/>
              </w:rPr>
              <w:t>Partecipazioni qualificate</w:t>
            </w:r>
          </w:p>
        </w:tc>
        <w:tc>
          <w:tcPr>
            <w:tcW w:w="4640" w:type="dxa"/>
            <w:shd w:val="clear" w:color="auto" w:fill="F2F2F2" w:themeFill="background1" w:themeFillShade="F2"/>
          </w:tcPr>
          <w:p w14:paraId="2E18F058" w14:textId="77777777" w:rsidR="00E54B34" w:rsidRPr="00937F93" w:rsidRDefault="00E54B34" w:rsidP="00E54B34">
            <w:pPr>
              <w:spacing w:after="0" w:line="240" w:lineRule="auto"/>
              <w:jc w:val="both"/>
              <w:rPr>
                <w:rFonts w:ascii="Times" w:hAnsi="Times" w:cs="Times"/>
                <w:i/>
                <w:iCs/>
                <w:sz w:val="20"/>
                <w:szCs w:val="20"/>
              </w:rPr>
            </w:pPr>
            <w:r w:rsidRPr="000F5074">
              <w:rPr>
                <w:rFonts w:ascii="Times" w:hAnsi="Times" w:cs="Times"/>
                <w:sz w:val="20"/>
                <w:szCs w:val="20"/>
              </w:rPr>
              <w:t xml:space="preserve">(a) </w:t>
            </w:r>
            <w:r>
              <w:t xml:space="preserve"> </w:t>
            </w:r>
            <w:r w:rsidRPr="00872A3A">
              <w:rPr>
                <w:rFonts w:ascii="Times" w:hAnsi="Times" w:cs="Times"/>
                <w:sz w:val="20"/>
                <w:szCs w:val="20"/>
              </w:rPr>
              <w:t>un organigramma dettagliato della struttura delle partecipazioni del richiedente, compresi la ripartizione del suo capitale e dei suoi diritti di voto e i nomi degli azionisti o dei soci con partecipazioni qualificate</w:t>
            </w:r>
            <w:r>
              <w:rPr>
                <w:rFonts w:ascii="Times" w:hAnsi="Times" w:cs="Times"/>
                <w:sz w:val="20"/>
                <w:szCs w:val="20"/>
              </w:rPr>
              <w:t>;</w:t>
            </w:r>
            <w:r w:rsidRPr="005A3EFB">
              <w:rPr>
                <w:rFonts w:ascii="Times" w:hAnsi="Times" w:cs="Times"/>
                <w:sz w:val="20"/>
                <w:szCs w:val="20"/>
              </w:rPr>
              <w:t xml:space="preserve"> </w:t>
            </w:r>
          </w:p>
        </w:tc>
        <w:tc>
          <w:tcPr>
            <w:tcW w:w="7513" w:type="dxa"/>
            <w:shd w:val="clear" w:color="auto" w:fill="FFFFFF" w:themeFill="background1"/>
          </w:tcPr>
          <w:p w14:paraId="0DC91B04"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612BE6E0" w14:textId="77777777" w:rsidTr="00796739">
        <w:trPr>
          <w:trHeight w:val="624"/>
        </w:trPr>
        <w:tc>
          <w:tcPr>
            <w:tcW w:w="2726" w:type="dxa"/>
            <w:vMerge/>
            <w:shd w:val="clear" w:color="auto" w:fill="F2F2F2" w:themeFill="background1" w:themeFillShade="F2"/>
            <w:vAlign w:val="center"/>
          </w:tcPr>
          <w:p w14:paraId="59E5C256" w14:textId="77777777" w:rsidR="00E54B34" w:rsidRPr="00D456BD"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E5D5174"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(b) </w:t>
            </w:r>
            <w:r>
              <w:t xml:space="preserve"> </w:t>
            </w:r>
            <w:r w:rsidRPr="004A7725">
              <w:rPr>
                <w:rFonts w:ascii="Times" w:hAnsi="Times" w:cs="Times"/>
                <w:sz w:val="20"/>
                <w:szCs w:val="20"/>
              </w:rPr>
              <w:t>per ciascun azionista o socio che detiene una partecipazione qualificata diretta o indiretta nel richiedente, le informazioni e i documenti di cui agli articoli da 1 a 4 del regolamento delegato (UE) della Commissione 2025/414</w:t>
            </w:r>
            <w:r>
              <w:rPr>
                <w:rStyle w:val="Rimandonotaapidipagina"/>
                <w:rFonts w:ascii="Times" w:hAnsi="Times" w:cs="Times"/>
                <w:sz w:val="20"/>
                <w:szCs w:val="20"/>
              </w:rPr>
              <w:footnoteReference w:id="6"/>
            </w:r>
            <w:r w:rsidRPr="004A7725">
              <w:rPr>
                <w:rFonts w:ascii="Times" w:hAnsi="Times" w:cs="Times"/>
                <w:sz w:val="20"/>
                <w:szCs w:val="20"/>
              </w:rPr>
              <w:t>, a seconda dei casi</w:t>
            </w:r>
            <w:r>
              <w:rPr>
                <w:rFonts w:ascii="Times" w:hAnsi="Times" w:cs="Times"/>
                <w:sz w:val="20"/>
                <w:szCs w:val="20"/>
              </w:rPr>
              <w:t>;</w:t>
            </w:r>
            <w:r w:rsidRPr="000F5074">
              <w:rPr>
                <w:rFonts w:ascii="Times" w:hAnsi="Times" w:cs="Times"/>
                <w:sz w:val="20"/>
                <w:szCs w:val="20"/>
              </w:rPr>
              <w:t xml:space="preserve"> </w:t>
            </w:r>
          </w:p>
        </w:tc>
        <w:tc>
          <w:tcPr>
            <w:tcW w:w="7513" w:type="dxa"/>
            <w:shd w:val="clear" w:color="auto" w:fill="FFFFFF" w:themeFill="background1"/>
          </w:tcPr>
          <w:p w14:paraId="3D0AC4C7" w14:textId="47DCB934"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6228F89" w14:textId="77777777" w:rsidTr="00796739">
        <w:trPr>
          <w:trHeight w:val="624"/>
        </w:trPr>
        <w:tc>
          <w:tcPr>
            <w:tcW w:w="2726" w:type="dxa"/>
            <w:vMerge/>
            <w:shd w:val="clear" w:color="auto" w:fill="F2F2F2" w:themeFill="background1" w:themeFillShade="F2"/>
            <w:vAlign w:val="center"/>
          </w:tcPr>
          <w:p w14:paraId="6C44FE62" w14:textId="77777777" w:rsidR="00E54B34" w:rsidRPr="00670157" w:rsidRDefault="00E54B34" w:rsidP="00E54B34">
            <w:pPr>
              <w:spacing w:after="0" w:line="240" w:lineRule="auto"/>
              <w:jc w:val="both"/>
              <w:rPr>
                <w:rFonts w:ascii="Times" w:hAnsi="Times" w:cs="Times"/>
                <w:b/>
                <w:bCs/>
                <w:color w:val="FFFFFF" w:themeColor="background1"/>
                <w:sz w:val="20"/>
                <w:szCs w:val="20"/>
              </w:rPr>
            </w:pPr>
          </w:p>
        </w:tc>
        <w:tc>
          <w:tcPr>
            <w:tcW w:w="4640" w:type="dxa"/>
            <w:shd w:val="clear" w:color="auto" w:fill="F2F2F2" w:themeFill="background1" w:themeFillShade="F2"/>
          </w:tcPr>
          <w:p w14:paraId="2DDFDBBB"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(c)</w:t>
            </w:r>
            <w:r>
              <w:t xml:space="preserve"> </w:t>
            </w:r>
            <w:r w:rsidRPr="0059483E">
              <w:rPr>
                <w:rFonts w:ascii="Times" w:hAnsi="Times" w:cs="Times"/>
                <w:sz w:val="20"/>
                <w:szCs w:val="20"/>
              </w:rPr>
              <w:t>l’identità di ciascun membro dell’organo di amministrazione che dirigerà l’attività del richiedente e sarà designato da tale azionista o socio con partecipazioni qualificate o a seguito di una nomina da parte di quest’ultimo;</w:t>
            </w:r>
          </w:p>
        </w:tc>
        <w:tc>
          <w:tcPr>
            <w:tcW w:w="7513" w:type="dxa"/>
            <w:shd w:val="clear" w:color="auto" w:fill="FFFFFF" w:themeFill="background1"/>
          </w:tcPr>
          <w:p w14:paraId="7FFD5E96" w14:textId="2583FCFE"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93916EC" w14:textId="77777777" w:rsidTr="00796739">
        <w:trPr>
          <w:trHeight w:val="624"/>
        </w:trPr>
        <w:tc>
          <w:tcPr>
            <w:tcW w:w="2726" w:type="dxa"/>
            <w:vMerge/>
            <w:shd w:val="clear" w:color="auto" w:fill="F2F2F2" w:themeFill="background1" w:themeFillShade="F2"/>
            <w:vAlign w:val="center"/>
          </w:tcPr>
          <w:p w14:paraId="66E95C19" w14:textId="77777777" w:rsidR="00E54B34" w:rsidRPr="00670157" w:rsidRDefault="00E54B34" w:rsidP="00E54B34">
            <w:pPr>
              <w:spacing w:after="0" w:line="240" w:lineRule="auto"/>
              <w:jc w:val="both"/>
              <w:rPr>
                <w:rFonts w:ascii="Times" w:hAnsi="Times" w:cs="Times"/>
                <w:b/>
                <w:bCs/>
                <w:color w:val="FFFFFF" w:themeColor="background1"/>
                <w:sz w:val="20"/>
                <w:szCs w:val="20"/>
              </w:rPr>
            </w:pPr>
          </w:p>
        </w:tc>
        <w:tc>
          <w:tcPr>
            <w:tcW w:w="4640" w:type="dxa"/>
            <w:shd w:val="clear" w:color="auto" w:fill="F2F2F2" w:themeFill="background1" w:themeFillShade="F2"/>
          </w:tcPr>
          <w:p w14:paraId="217F296A"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(d) </w:t>
            </w:r>
            <w:r>
              <w:t xml:space="preserve"> </w:t>
            </w:r>
            <w:r w:rsidRPr="00F36BF7">
              <w:rPr>
                <w:rFonts w:ascii="Times" w:hAnsi="Times" w:cs="Times"/>
                <w:sz w:val="20"/>
                <w:szCs w:val="20"/>
              </w:rPr>
              <w:t>per ciascun azionista o socio che detiene una partecipazione qualificata diretta o indiretta nel richiedente, informazioni sul numero e sul tipo di azioni o altre partecipazioni sottoscritte, sul loro valore nominale, su eventuali premi pagati o da pagare, su eventuali diritti di garanzia o gravami, compresa l’identità delle parti garantite</w:t>
            </w:r>
            <w:r>
              <w:rPr>
                <w:rFonts w:ascii="Times" w:hAnsi="Times" w:cs="Times"/>
                <w:sz w:val="20"/>
                <w:szCs w:val="20"/>
              </w:rPr>
              <w:t>;</w:t>
            </w:r>
            <w:r w:rsidRPr="000F5074">
              <w:rPr>
                <w:rFonts w:ascii="Times" w:hAnsi="Times" w:cs="Times"/>
                <w:sz w:val="20"/>
                <w:szCs w:val="20"/>
              </w:rPr>
              <w:t xml:space="preserve"> </w:t>
            </w:r>
          </w:p>
        </w:tc>
        <w:tc>
          <w:tcPr>
            <w:tcW w:w="7513" w:type="dxa"/>
            <w:shd w:val="clear" w:color="auto" w:fill="FFFFFF" w:themeFill="background1"/>
          </w:tcPr>
          <w:p w14:paraId="2664846D" w14:textId="034F6AAA"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5479FBC2" w14:textId="77777777" w:rsidTr="00796739">
        <w:trPr>
          <w:trHeight w:val="624"/>
        </w:trPr>
        <w:tc>
          <w:tcPr>
            <w:tcW w:w="2726" w:type="dxa"/>
            <w:vMerge/>
            <w:shd w:val="clear" w:color="auto" w:fill="F2F2F2" w:themeFill="background1" w:themeFillShade="F2"/>
            <w:vAlign w:val="center"/>
          </w:tcPr>
          <w:p w14:paraId="1E3146F6" w14:textId="77777777" w:rsidR="00E54B34" w:rsidRPr="00670157" w:rsidRDefault="00E54B34" w:rsidP="00E54B34">
            <w:pPr>
              <w:spacing w:after="0" w:line="240" w:lineRule="auto"/>
              <w:jc w:val="both"/>
              <w:rPr>
                <w:rFonts w:ascii="Times" w:hAnsi="Times" w:cs="Times"/>
                <w:b/>
                <w:bCs/>
                <w:color w:val="FFFFFF" w:themeColor="background1"/>
                <w:sz w:val="20"/>
                <w:szCs w:val="20"/>
              </w:rPr>
            </w:pPr>
          </w:p>
        </w:tc>
        <w:tc>
          <w:tcPr>
            <w:tcW w:w="4640" w:type="dxa"/>
            <w:shd w:val="clear" w:color="auto" w:fill="F2F2F2" w:themeFill="background1" w:themeFillShade="F2"/>
          </w:tcPr>
          <w:p w14:paraId="637BFC25"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(e) </w:t>
            </w:r>
            <w:bookmarkStart w:id="1" w:name="_Hlk192154542"/>
            <w:r>
              <w:t xml:space="preserve"> </w:t>
            </w:r>
            <w:r w:rsidRPr="00F36BF7">
              <w:rPr>
                <w:rFonts w:ascii="Times" w:hAnsi="Times" w:cs="Times"/>
                <w:sz w:val="20"/>
                <w:szCs w:val="20"/>
              </w:rPr>
              <w:t xml:space="preserve">le informazioni di cui all’articolo 6, lettere b), d) ed </w:t>
            </w:r>
            <w:proofErr w:type="gramStart"/>
            <w:r w:rsidRPr="00F36BF7">
              <w:rPr>
                <w:rFonts w:ascii="Times" w:hAnsi="Times" w:cs="Times"/>
                <w:sz w:val="20"/>
                <w:szCs w:val="20"/>
              </w:rPr>
              <w:t>e</w:t>
            </w:r>
            <w:proofErr w:type="gramEnd"/>
            <w:r w:rsidRPr="00F36BF7">
              <w:rPr>
                <w:rFonts w:ascii="Times" w:hAnsi="Times" w:cs="Times"/>
                <w:sz w:val="20"/>
                <w:szCs w:val="20"/>
              </w:rPr>
              <w:t>), e all’articolo 8 del regolamento delegato (UE) della Commissione 2025/414</w:t>
            </w:r>
            <w:r>
              <w:rPr>
                <w:rFonts w:ascii="Times" w:hAnsi="Times" w:cs="Times"/>
                <w:sz w:val="20"/>
                <w:szCs w:val="20"/>
              </w:rPr>
              <w:t>.</w:t>
            </w:r>
            <w:bookmarkEnd w:id="1"/>
          </w:p>
        </w:tc>
        <w:tc>
          <w:tcPr>
            <w:tcW w:w="7513" w:type="dxa"/>
            <w:shd w:val="clear" w:color="auto" w:fill="FFFFFF" w:themeFill="background1"/>
          </w:tcPr>
          <w:p w14:paraId="5BFEAE85" w14:textId="2281FB29"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077080E5" w14:textId="77777777" w:rsidTr="00796739">
        <w:trPr>
          <w:trHeight w:val="624"/>
        </w:trPr>
        <w:tc>
          <w:tcPr>
            <w:tcW w:w="2726" w:type="dxa"/>
            <w:shd w:val="clear" w:color="auto" w:fill="DEEAF6" w:themeFill="accent1" w:themeFillTint="33"/>
            <w:vAlign w:val="center"/>
          </w:tcPr>
          <w:p w14:paraId="66BC1A57" w14:textId="77777777" w:rsidR="00E54B34" w:rsidRPr="00670157" w:rsidRDefault="00E54B34" w:rsidP="00E54B34">
            <w:pPr>
              <w:spacing w:after="0" w:line="240" w:lineRule="auto"/>
              <w:jc w:val="both"/>
              <w:rPr>
                <w:rFonts w:ascii="Times" w:hAnsi="Times" w:cs="Times"/>
                <w:b/>
                <w:bCs/>
                <w:color w:val="FFFFFF" w:themeColor="background1"/>
                <w:sz w:val="20"/>
                <w:szCs w:val="20"/>
              </w:rPr>
            </w:pPr>
            <w:r w:rsidRPr="000057D4">
              <w:rPr>
                <w:rFonts w:ascii="Times" w:hAnsi="Times" w:cs="Times"/>
                <w:b/>
                <w:bCs/>
                <w:sz w:val="20"/>
                <w:szCs w:val="20"/>
              </w:rPr>
              <w:t>Integrazioni</w:t>
            </w:r>
            <w:r>
              <w:rPr>
                <w:rFonts w:ascii="Times" w:hAnsi="Times" w:cs="Times"/>
                <w:b/>
                <w:bCs/>
                <w:sz w:val="20"/>
                <w:szCs w:val="20"/>
              </w:rPr>
              <w:t xml:space="preserve"> necessarie in caso di istanza come PSP</w:t>
            </w:r>
            <w:r w:rsidRPr="000057D4">
              <w:rPr>
                <w:rFonts w:ascii="Times" w:hAnsi="Times" w:cs="Times"/>
                <w:b/>
                <w:bCs/>
                <w:sz w:val="20"/>
                <w:szCs w:val="20"/>
              </w:rPr>
              <w:t xml:space="preserve"> </w:t>
            </w:r>
          </w:p>
        </w:tc>
        <w:tc>
          <w:tcPr>
            <w:tcW w:w="4640" w:type="dxa"/>
            <w:shd w:val="clear" w:color="auto" w:fill="DEEAF6" w:themeFill="accent1" w:themeFillTint="33"/>
          </w:tcPr>
          <w:p w14:paraId="594B65C7" w14:textId="77777777" w:rsidR="00E54B34" w:rsidRPr="00F140D9" w:rsidRDefault="00E54B34" w:rsidP="00E54B34">
            <w:pPr>
              <w:spacing w:after="0" w:line="240" w:lineRule="auto"/>
              <w:jc w:val="both"/>
              <w:rPr>
                <w:rFonts w:ascii="Times New Roman" w:eastAsia="Times New Roman" w:hAnsi="Times New Roman" w:cs="Times New Roman"/>
                <w:iCs/>
                <w:sz w:val="20"/>
                <w:szCs w:val="20"/>
              </w:rPr>
            </w:pPr>
            <w:r w:rsidRPr="00F140D9">
              <w:rPr>
                <w:rFonts w:ascii="Times New Roman" w:eastAsia="Times New Roman" w:hAnsi="Times New Roman" w:cs="Times New Roman"/>
                <w:iCs/>
                <w:sz w:val="20"/>
                <w:szCs w:val="20"/>
              </w:rPr>
              <w:t>I CASP che intendono richiedere autorizzazione anche come PSP devono:</w:t>
            </w:r>
          </w:p>
          <w:p w14:paraId="3C8C6BE5" w14:textId="77777777" w:rsidR="00E54B34" w:rsidRPr="00F140D9" w:rsidRDefault="00E54B34" w:rsidP="00E54B34">
            <w:pPr>
              <w:numPr>
                <w:ilvl w:val="0"/>
                <w:numId w:val="1"/>
              </w:numPr>
              <w:spacing w:after="0" w:line="240" w:lineRule="auto"/>
              <w:jc w:val="both"/>
              <w:rPr>
                <w:rFonts w:ascii="Times New Roman" w:hAnsi="Times New Roman" w:cs="Times New Roman"/>
                <w:sz w:val="20"/>
                <w:szCs w:val="20"/>
              </w:rPr>
            </w:pPr>
            <w:r w:rsidRPr="00F140D9">
              <w:rPr>
                <w:rFonts w:ascii="Times New Roman" w:hAnsi="Times New Roman" w:cs="Times New Roman"/>
                <w:sz w:val="20"/>
                <w:szCs w:val="20"/>
              </w:rPr>
              <w:t>individuare il perimetro dei soci qualificati da valutare ai sensi di entrambe le discipline;</w:t>
            </w:r>
          </w:p>
          <w:p w14:paraId="7213F98B" w14:textId="77777777" w:rsidR="00E54B34" w:rsidRPr="00F140D9" w:rsidRDefault="00E54B34" w:rsidP="00E54B34">
            <w:pPr>
              <w:numPr>
                <w:ilvl w:val="0"/>
                <w:numId w:val="1"/>
              </w:numPr>
              <w:spacing w:after="0" w:line="240" w:lineRule="auto"/>
              <w:jc w:val="both"/>
              <w:rPr>
                <w:rFonts w:ascii="Times New Roman" w:hAnsi="Times New Roman" w:cs="Times New Roman"/>
                <w:sz w:val="20"/>
                <w:szCs w:val="20"/>
              </w:rPr>
            </w:pPr>
            <w:r w:rsidRPr="00F140D9">
              <w:rPr>
                <w:rFonts w:ascii="Times New Roman" w:hAnsi="Times New Roman" w:cs="Times New Roman"/>
                <w:sz w:val="20"/>
                <w:szCs w:val="20"/>
              </w:rPr>
              <w:t>trasmettere per tutti i soci qualificati la documentazione che comprovi il rispetto dei requisiti previsti per i PSP in quanto più estesi (e cioè rilevanza, per l’onorabilità e la correttezza, di tutte le fattispecie di reato, nonché del criterio di competenza). Al riguardo occorre fare riferimento alle “Disposizioni di vigilanza della Banca d’Italia in materia di Informazioni e documenti da trasmettere alla Banca d’Italia nell’istanza di autorizzazione all’acquisto di una partecipazione qualificata”.</w:t>
            </w:r>
          </w:p>
          <w:p w14:paraId="03594309" w14:textId="77777777" w:rsidR="00E54B34" w:rsidRPr="009221FB" w:rsidRDefault="00E54B34" w:rsidP="00E54B34">
            <w:pPr>
              <w:spacing w:after="0" w:line="240" w:lineRule="auto"/>
              <w:jc w:val="both"/>
              <w:rPr>
                <w:rFonts w:ascii="Times" w:hAnsi="Times" w:cs="Times"/>
                <w:sz w:val="20"/>
                <w:szCs w:val="20"/>
              </w:rPr>
            </w:pPr>
          </w:p>
        </w:tc>
        <w:tc>
          <w:tcPr>
            <w:tcW w:w="7513" w:type="dxa"/>
            <w:shd w:val="clear" w:color="auto" w:fill="DEEAF6" w:themeFill="accent1" w:themeFillTint="33"/>
          </w:tcPr>
          <w:p w14:paraId="126D555D" w14:textId="77777777"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596E3F66" w14:textId="77777777" w:rsidTr="00A745F9">
        <w:trPr>
          <w:trHeight w:val="482"/>
        </w:trPr>
        <w:tc>
          <w:tcPr>
            <w:tcW w:w="14879" w:type="dxa"/>
            <w:gridSpan w:val="3"/>
            <w:shd w:val="clear" w:color="auto" w:fill="2E74B5" w:themeFill="accent1" w:themeFillShade="BF"/>
            <w:vAlign w:val="center"/>
          </w:tcPr>
          <w:p w14:paraId="020D75D6" w14:textId="77777777" w:rsidR="00E54B34" w:rsidRPr="005061C3" w:rsidRDefault="00E54B34" w:rsidP="00E54B34">
            <w:pPr>
              <w:pStyle w:val="Paragrafoelenco"/>
              <w:numPr>
                <w:ilvl w:val="0"/>
                <w:numId w:val="30"/>
              </w:numPr>
              <w:spacing w:after="0" w:line="240" w:lineRule="auto"/>
              <w:jc w:val="both"/>
              <w:rPr>
                <w:rFonts w:ascii="Times" w:eastAsia="Times New Roman" w:hAnsi="Times" w:cs="Times"/>
                <w:color w:val="FFFFFF" w:themeColor="background1"/>
                <w:lang w:val="it-IT"/>
              </w:rPr>
            </w:pPr>
            <w:r w:rsidRPr="00D456BD">
              <w:rPr>
                <w:rFonts w:ascii="Times" w:hAnsi="Times" w:cs="Times"/>
                <w:b/>
                <w:bCs/>
                <w:color w:val="FFFFFF" w:themeColor="background1"/>
                <w:lang w:val="it-IT"/>
              </w:rPr>
              <w:t xml:space="preserve">SISTEMI </w:t>
            </w:r>
            <w:r>
              <w:rPr>
                <w:rFonts w:ascii="Times" w:hAnsi="Times" w:cs="Times"/>
                <w:b/>
                <w:bCs/>
                <w:color w:val="FFFFFF" w:themeColor="background1"/>
                <w:lang w:val="it-IT"/>
              </w:rPr>
              <w:t>TIC</w:t>
            </w:r>
            <w:r w:rsidRPr="00D456BD">
              <w:rPr>
                <w:rFonts w:ascii="Times" w:hAnsi="Times" w:cs="Times"/>
                <w:b/>
                <w:bCs/>
                <w:color w:val="FFFFFF" w:themeColor="background1"/>
                <w:lang w:val="it-IT"/>
              </w:rPr>
              <w:t xml:space="preserve"> E </w:t>
            </w:r>
            <w:r>
              <w:rPr>
                <w:rFonts w:ascii="Times" w:hAnsi="Times" w:cs="Times"/>
                <w:b/>
                <w:bCs/>
                <w:color w:val="FFFFFF" w:themeColor="background1"/>
                <w:lang w:val="it-IT"/>
              </w:rPr>
              <w:t>RELATIVI DISPOSITIVI DI SICUREZZA</w:t>
            </w:r>
          </w:p>
        </w:tc>
      </w:tr>
      <w:tr w:rsidR="00E54B34" w:rsidRPr="008B23C0" w14:paraId="13AA509E" w14:textId="77777777" w:rsidTr="00111686">
        <w:trPr>
          <w:trHeight w:val="454"/>
        </w:trPr>
        <w:tc>
          <w:tcPr>
            <w:tcW w:w="7366" w:type="dxa"/>
            <w:gridSpan w:val="2"/>
            <w:shd w:val="clear" w:color="auto" w:fill="F2F2F2" w:themeFill="background1" w:themeFillShade="F2"/>
            <w:vAlign w:val="center"/>
          </w:tcPr>
          <w:p w14:paraId="75830FC9" w14:textId="77777777" w:rsidR="00E54B34" w:rsidRPr="00031A47" w:rsidRDefault="00E54B34" w:rsidP="00E54B34">
            <w:pPr>
              <w:spacing w:after="0" w:line="240" w:lineRule="auto"/>
              <w:jc w:val="both"/>
              <w:rPr>
                <w:rFonts w:ascii="Times" w:eastAsia="MS Mincho" w:hAnsi="Times" w:cs="Times"/>
                <w:sz w:val="20"/>
                <w:szCs w:val="20"/>
                <w:lang w:eastAsia="en-GB"/>
              </w:rPr>
            </w:pPr>
            <w:r w:rsidRPr="003C1903">
              <w:rPr>
                <w:rFonts w:ascii="Times" w:eastAsia="MS Mincho" w:hAnsi="Times" w:cs="Times"/>
                <w:sz w:val="20"/>
                <w:szCs w:val="20"/>
                <w:lang w:eastAsia="en-GB"/>
              </w:rPr>
              <w:t xml:space="preserve">Ai </w:t>
            </w:r>
            <w:r>
              <w:rPr>
                <w:rFonts w:ascii="Times" w:eastAsia="MS Mincho" w:hAnsi="Times" w:cs="Times"/>
                <w:sz w:val="20"/>
                <w:szCs w:val="20"/>
                <w:lang w:eastAsia="en-GB"/>
              </w:rPr>
              <w:t>sensi</w:t>
            </w:r>
            <w:r w:rsidRPr="003C1903">
              <w:rPr>
                <w:rFonts w:ascii="Times" w:eastAsia="MS Mincho" w:hAnsi="Times" w:cs="Times"/>
                <w:sz w:val="20"/>
                <w:szCs w:val="20"/>
                <w:lang w:eastAsia="en-GB"/>
              </w:rPr>
              <w:t xml:space="preserve"> dell’articolo 62, paragrafo 2, lettera j), del regolamento (UE) 2023/1114</w:t>
            </w:r>
            <w:r>
              <w:rPr>
                <w:rFonts w:ascii="Times" w:eastAsia="MS Mincho" w:hAnsi="Times" w:cs="Times"/>
                <w:sz w:val="20"/>
                <w:szCs w:val="20"/>
                <w:lang w:eastAsia="en-GB"/>
              </w:rPr>
              <w:t xml:space="preserve"> e dell’articolo 9 del regolamento delegato (UE) della Commissione 2025/305</w:t>
            </w:r>
            <w:r w:rsidRPr="003C1903">
              <w:rPr>
                <w:rFonts w:ascii="Times" w:eastAsia="MS Mincho" w:hAnsi="Times" w:cs="Times"/>
                <w:sz w:val="20"/>
                <w:szCs w:val="20"/>
                <w:lang w:eastAsia="en-GB"/>
              </w:rPr>
              <w:t>, i richiedenti forniscono all’autorità competente le informazioni seguenti</w:t>
            </w:r>
            <w:r w:rsidRPr="00031A47">
              <w:rPr>
                <w:rFonts w:ascii="Times" w:eastAsia="MS Mincho" w:hAnsi="Times" w:cs="Times"/>
                <w:sz w:val="20"/>
                <w:szCs w:val="20"/>
                <w:lang w:eastAsia="en-GB"/>
              </w:rPr>
              <w:t>:</w:t>
            </w:r>
          </w:p>
        </w:tc>
        <w:tc>
          <w:tcPr>
            <w:tcW w:w="7513" w:type="dxa"/>
            <w:shd w:val="clear" w:color="auto" w:fill="F2F2F2" w:themeFill="background1" w:themeFillShade="F2"/>
          </w:tcPr>
          <w:p w14:paraId="400179CC" w14:textId="77777777" w:rsidR="00E54B34" w:rsidRPr="00E313C3" w:rsidRDefault="00E54B34" w:rsidP="00E54B34">
            <w:pPr>
              <w:spacing w:after="0" w:line="240" w:lineRule="auto"/>
              <w:jc w:val="both"/>
              <w:rPr>
                <w:rFonts w:ascii="Times" w:eastAsia="Times New Roman" w:hAnsi="Times" w:cs="Times"/>
                <w:i/>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9, suddividendole in paragrafi.</w:t>
            </w:r>
          </w:p>
        </w:tc>
      </w:tr>
      <w:tr w:rsidR="00E54B34" w:rsidRPr="008B23C0" w14:paraId="7657D3A4" w14:textId="77777777" w:rsidTr="00796739">
        <w:trPr>
          <w:trHeight w:val="454"/>
        </w:trPr>
        <w:tc>
          <w:tcPr>
            <w:tcW w:w="2726" w:type="dxa"/>
            <w:vMerge w:val="restart"/>
            <w:shd w:val="clear" w:color="auto" w:fill="F2F2F2" w:themeFill="background1" w:themeFillShade="F2"/>
            <w:vAlign w:val="center"/>
          </w:tcPr>
          <w:p w14:paraId="07E37825" w14:textId="77777777" w:rsidR="00E54B34" w:rsidRPr="00D456BD" w:rsidRDefault="00E54B34" w:rsidP="00E54B34">
            <w:pPr>
              <w:spacing w:after="0" w:line="240" w:lineRule="auto"/>
              <w:jc w:val="both"/>
              <w:rPr>
                <w:rFonts w:ascii="Times" w:hAnsi="Times" w:cs="Times"/>
                <w:b/>
                <w:sz w:val="20"/>
                <w:szCs w:val="20"/>
                <w:highlight w:val="yellow"/>
              </w:rPr>
            </w:pPr>
            <w:r>
              <w:rPr>
                <w:rFonts w:ascii="Times" w:hAnsi="Times" w:cs="Times"/>
                <w:b/>
                <w:bCs/>
                <w:sz w:val="20"/>
                <w:szCs w:val="20"/>
              </w:rPr>
              <w:t xml:space="preserve">1. </w:t>
            </w:r>
            <w:r w:rsidRPr="000F5074">
              <w:rPr>
                <w:rFonts w:ascii="Times" w:hAnsi="Times" w:cs="Times"/>
                <w:b/>
                <w:bCs/>
                <w:sz w:val="20"/>
                <w:szCs w:val="20"/>
              </w:rPr>
              <w:t>Rischi</w:t>
            </w:r>
            <w:r>
              <w:rPr>
                <w:rFonts w:ascii="Times" w:hAnsi="Times" w:cs="Times"/>
                <w:b/>
                <w:bCs/>
                <w:sz w:val="20"/>
                <w:szCs w:val="20"/>
              </w:rPr>
              <w:t xml:space="preserve"> </w:t>
            </w:r>
            <w:r w:rsidRPr="000F5074">
              <w:rPr>
                <w:rFonts w:ascii="Times" w:hAnsi="Times" w:cs="Times"/>
                <w:b/>
                <w:bCs/>
                <w:sz w:val="20"/>
                <w:szCs w:val="20"/>
              </w:rPr>
              <w:t>connessi all</w:t>
            </w:r>
            <w:r>
              <w:rPr>
                <w:rFonts w:ascii="Times" w:hAnsi="Times" w:cs="Times"/>
                <w:b/>
                <w:bCs/>
                <w:sz w:val="20"/>
                <w:szCs w:val="20"/>
              </w:rPr>
              <w:t>’</w:t>
            </w:r>
            <w:r w:rsidRPr="000F5074">
              <w:rPr>
                <w:rFonts w:ascii="Times" w:hAnsi="Times" w:cs="Times"/>
                <w:b/>
                <w:bCs/>
                <w:sz w:val="20"/>
                <w:szCs w:val="20"/>
              </w:rPr>
              <w:t xml:space="preserve">infrastruttura </w:t>
            </w:r>
            <w:r w:rsidRPr="000F5074">
              <w:rPr>
                <w:rFonts w:ascii="Times" w:hAnsi="Times" w:cs="Times"/>
                <w:b/>
                <w:bCs/>
                <w:sz w:val="20"/>
                <w:szCs w:val="20"/>
              </w:rPr>
              <w:lastRenderedPageBreak/>
              <w:t>informatica e alle relative procedure</w:t>
            </w:r>
          </w:p>
        </w:tc>
        <w:tc>
          <w:tcPr>
            <w:tcW w:w="4640" w:type="dxa"/>
            <w:shd w:val="clear" w:color="auto" w:fill="F2F2F2" w:themeFill="background1" w:themeFillShade="F2"/>
          </w:tcPr>
          <w:p w14:paraId="3C84E681" w14:textId="77777777" w:rsidR="00E54B34" w:rsidRPr="00670157" w:rsidRDefault="00E54B34" w:rsidP="00E54B34">
            <w:pPr>
              <w:spacing w:after="0" w:line="240" w:lineRule="auto"/>
              <w:jc w:val="both"/>
              <w:rPr>
                <w:rFonts w:ascii="Times" w:eastAsia="Times New Roman" w:hAnsi="Times" w:cs="Times"/>
                <w:i/>
                <w:sz w:val="20"/>
                <w:szCs w:val="20"/>
                <w:lang w:eastAsia="en-GB"/>
              </w:rPr>
            </w:pPr>
            <w:r w:rsidRPr="00031A47">
              <w:rPr>
                <w:rFonts w:ascii="Times" w:eastAsia="Times New Roman" w:hAnsi="Times" w:cs="Times"/>
                <w:iCs/>
                <w:sz w:val="20"/>
                <w:szCs w:val="20"/>
                <w:lang w:eastAsia="en-GB"/>
              </w:rPr>
              <w:lastRenderedPageBreak/>
              <w:t xml:space="preserve">(a) </w:t>
            </w:r>
            <w:r>
              <w:t xml:space="preserve"> </w:t>
            </w:r>
            <w:r w:rsidRPr="0016602B">
              <w:rPr>
                <w:rFonts w:ascii="Times" w:eastAsia="Times New Roman" w:hAnsi="Times" w:cs="Times"/>
                <w:iCs/>
                <w:sz w:val="20"/>
                <w:szCs w:val="20"/>
                <w:lang w:eastAsia="en-GB"/>
              </w:rPr>
              <w:t xml:space="preserve">la documentazione tecnica dei sistemi TIC, dell’infrastruttura DLT utilizzata, se del caso, e dei dispositivi di sicurezza, compresa una descrizione dei </w:t>
            </w:r>
            <w:r w:rsidRPr="0016602B">
              <w:rPr>
                <w:rFonts w:ascii="Times" w:eastAsia="Times New Roman" w:hAnsi="Times" w:cs="Times"/>
                <w:iCs/>
                <w:sz w:val="20"/>
                <w:szCs w:val="20"/>
                <w:lang w:eastAsia="en-GB"/>
              </w:rPr>
              <w:lastRenderedPageBreak/>
              <w:t>dispositivi e delle risorse umane e TIC impiegate, elaborata per conformarsi al regolamento (UE) 2022/2554 del Parlamento europeo e del Consiglio</w:t>
            </w:r>
            <w:r>
              <w:rPr>
                <w:rStyle w:val="Rimandonotaapidipagina"/>
                <w:rFonts w:ascii="Times" w:eastAsia="Times New Roman" w:hAnsi="Times" w:cs="Times"/>
                <w:iCs/>
                <w:sz w:val="20"/>
                <w:szCs w:val="20"/>
                <w:lang w:eastAsia="en-GB"/>
              </w:rPr>
              <w:footnoteReference w:id="7"/>
            </w:r>
            <w:r w:rsidRPr="00A87EE7">
              <w:rPr>
                <w:rFonts w:ascii="Times" w:eastAsia="Times New Roman" w:hAnsi="Times" w:cs="Times"/>
                <w:iCs/>
                <w:sz w:val="20"/>
                <w:szCs w:val="20"/>
                <w:lang w:eastAsia="en-GB"/>
              </w:rPr>
              <w:t xml:space="preserve">, </w:t>
            </w:r>
            <w:r w:rsidRPr="00271315">
              <w:rPr>
                <w:rFonts w:ascii="Times" w:eastAsia="Times New Roman" w:hAnsi="Times" w:cs="Times"/>
                <w:iCs/>
                <w:sz w:val="20"/>
                <w:szCs w:val="20"/>
                <w:lang w:eastAsia="en-GB"/>
              </w:rPr>
              <w:t xml:space="preserve">come </w:t>
            </w:r>
            <w:r>
              <w:rPr>
                <w:rFonts w:ascii="Times" w:eastAsia="Times New Roman" w:hAnsi="Times" w:cs="Times"/>
                <w:iCs/>
                <w:sz w:val="20"/>
                <w:szCs w:val="20"/>
                <w:lang w:eastAsia="en-GB"/>
              </w:rPr>
              <w:t>segue</w:t>
            </w:r>
            <w:r w:rsidRPr="00A87EE7">
              <w:rPr>
                <w:rFonts w:ascii="Times" w:eastAsia="Times New Roman" w:hAnsi="Times" w:cs="Times"/>
                <w:iCs/>
                <w:sz w:val="20"/>
                <w:szCs w:val="20"/>
                <w:lang w:eastAsia="en-GB"/>
              </w:rPr>
              <w:t>:</w:t>
            </w:r>
          </w:p>
        </w:tc>
        <w:tc>
          <w:tcPr>
            <w:tcW w:w="7513" w:type="dxa"/>
            <w:shd w:val="clear" w:color="auto" w:fill="FFFFFF" w:themeFill="background1"/>
          </w:tcPr>
          <w:p w14:paraId="518BAC24" w14:textId="147F89B9"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05E1552" w14:textId="77777777" w:rsidTr="00796739">
        <w:trPr>
          <w:trHeight w:val="624"/>
        </w:trPr>
        <w:tc>
          <w:tcPr>
            <w:tcW w:w="2726" w:type="dxa"/>
            <w:vMerge/>
            <w:shd w:val="clear" w:color="auto" w:fill="F2F2F2" w:themeFill="background1" w:themeFillShade="F2"/>
            <w:vAlign w:val="center"/>
          </w:tcPr>
          <w:p w14:paraId="225F305E"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8CF4E4E"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(i) </w:t>
            </w:r>
            <w:r w:rsidRPr="008960F0">
              <w:rPr>
                <w:rFonts w:ascii="Times" w:hAnsi="Times" w:cs="Times"/>
                <w:sz w:val="20"/>
                <w:szCs w:val="20"/>
              </w:rPr>
              <w:t xml:space="preserve">una descrizione del modo in cui il richiedente garantisce un quadro solido, completo e ben documentato per la gestione dei </w:t>
            </w:r>
            <w:r>
              <w:t xml:space="preserve"> </w:t>
            </w:r>
            <w:r w:rsidRPr="0016602B">
              <w:rPr>
                <w:rFonts w:ascii="Times" w:hAnsi="Times" w:cs="Times"/>
                <w:sz w:val="20"/>
                <w:szCs w:val="20"/>
              </w:rPr>
              <w:t>rischi relativi alle TIC nell’ambito</w:t>
            </w:r>
            <w:r>
              <w:rPr>
                <w:rFonts w:ascii="Times" w:hAnsi="Times" w:cs="Times"/>
                <w:sz w:val="20"/>
                <w:szCs w:val="20"/>
              </w:rPr>
              <w:t xml:space="preserve"> </w:t>
            </w:r>
            <w:r w:rsidRPr="008960F0">
              <w:rPr>
                <w:rFonts w:ascii="Times" w:hAnsi="Times" w:cs="Times"/>
                <w:sz w:val="20"/>
                <w:szCs w:val="20"/>
              </w:rPr>
              <w:t xml:space="preserve">del suo sistema generale di gestione del rischio, compresa una descrizione dettagliata dei sistemi, dei protocolli e </w:t>
            </w:r>
            <w:r>
              <w:t xml:space="preserve"> </w:t>
            </w:r>
            <w:r w:rsidRPr="0016602B">
              <w:rPr>
                <w:rFonts w:ascii="Times" w:hAnsi="Times" w:cs="Times"/>
                <w:sz w:val="20"/>
                <w:szCs w:val="20"/>
              </w:rPr>
              <w:t>degli strumenti TIC</w:t>
            </w:r>
            <w:r>
              <w:rPr>
                <w:rFonts w:ascii="Times" w:hAnsi="Times" w:cs="Times"/>
                <w:sz w:val="20"/>
                <w:szCs w:val="20"/>
              </w:rPr>
              <w:t xml:space="preserve"> </w:t>
            </w:r>
            <w:r w:rsidRPr="008960F0">
              <w:rPr>
                <w:rFonts w:ascii="Times" w:hAnsi="Times" w:cs="Times"/>
                <w:sz w:val="20"/>
                <w:szCs w:val="20"/>
              </w:rPr>
              <w:t>e del modo in cui le procedure, le politiche e i sistemi del richiedente volti a tutelare la sicurezza, l’integrità, la disponibilità, l’autenticità e la riservatezza dei dati si conformano ai regolamenti (UE) 2022/2554 e (UE) 2016/679;</w:t>
            </w:r>
          </w:p>
        </w:tc>
        <w:tc>
          <w:tcPr>
            <w:tcW w:w="7513" w:type="dxa"/>
            <w:shd w:val="clear" w:color="auto" w:fill="FFFFFF" w:themeFill="background1"/>
          </w:tcPr>
          <w:p w14:paraId="03FBDD1B"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960D380" w14:textId="77777777" w:rsidTr="00796739">
        <w:trPr>
          <w:trHeight w:val="624"/>
        </w:trPr>
        <w:tc>
          <w:tcPr>
            <w:tcW w:w="2726" w:type="dxa"/>
            <w:vMerge/>
            <w:shd w:val="clear" w:color="auto" w:fill="F2F2F2" w:themeFill="background1" w:themeFillShade="F2"/>
            <w:vAlign w:val="center"/>
          </w:tcPr>
          <w:p w14:paraId="6464D3B0"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B19EC2B"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(ii) </w:t>
            </w:r>
            <w:r>
              <w:t xml:space="preserve"> </w:t>
            </w:r>
            <w:r w:rsidRPr="0016602B">
              <w:rPr>
                <w:rFonts w:ascii="Times" w:hAnsi="Times" w:cs="Times"/>
                <w:iCs/>
                <w:sz w:val="20"/>
                <w:szCs w:val="20"/>
              </w:rPr>
              <w:t>l’identificazione dei servizi TIC a supporto di funzioni essenziali o importanti, sviluppati o mantenuti dal richiedente, e dei servizi TIC a supporto di funzioni essenziali o importanti prestati da prestatori di servizi terzi, una descrizione di tali accordi contrattuali (identità e ubicazione geografica dei prestatori, descrizione delle attività esternalizzate o dei servizi TIC con le loro caratteristiche principali, copia degli accordi contrattuali) e del modo in cui tali accordi sono conformi all’articolo 73 del regolamento (UE) 2023/1114 e al capo V del regolamento (UE) 2022/2554</w:t>
            </w:r>
            <w:r>
              <w:rPr>
                <w:rFonts w:ascii="Times" w:hAnsi="Times" w:cs="Times"/>
                <w:iCs/>
                <w:sz w:val="20"/>
                <w:szCs w:val="20"/>
              </w:rPr>
              <w:t>;</w:t>
            </w:r>
            <w:r w:rsidRPr="000F5074">
              <w:rPr>
                <w:rFonts w:ascii="Times" w:hAnsi="Times" w:cs="Times"/>
                <w:iCs/>
                <w:sz w:val="20"/>
                <w:szCs w:val="20"/>
              </w:rPr>
              <w:t xml:space="preserve"> </w:t>
            </w:r>
          </w:p>
        </w:tc>
        <w:tc>
          <w:tcPr>
            <w:tcW w:w="7513" w:type="dxa"/>
            <w:shd w:val="clear" w:color="auto" w:fill="FFFFFF" w:themeFill="background1"/>
          </w:tcPr>
          <w:p w14:paraId="7C85F04E" w14:textId="736772BD"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AFD135C" w14:textId="77777777" w:rsidTr="00796739">
        <w:trPr>
          <w:trHeight w:val="624"/>
        </w:trPr>
        <w:tc>
          <w:tcPr>
            <w:tcW w:w="2726" w:type="dxa"/>
            <w:vMerge/>
            <w:shd w:val="clear" w:color="auto" w:fill="F2F2F2" w:themeFill="background1" w:themeFillShade="F2"/>
            <w:vAlign w:val="center"/>
          </w:tcPr>
          <w:p w14:paraId="529EB662" w14:textId="77777777" w:rsidR="00E54B34" w:rsidRPr="00670157" w:rsidRDefault="00E54B34" w:rsidP="00E54B34">
            <w:pPr>
              <w:spacing w:after="0" w:line="240" w:lineRule="auto"/>
              <w:jc w:val="both"/>
              <w:rPr>
                <w:rFonts w:ascii="Times" w:hAnsi="Times" w:cs="Times"/>
                <w:b/>
                <w:bCs/>
                <w:sz w:val="20"/>
                <w:szCs w:val="20"/>
              </w:rPr>
            </w:pPr>
          </w:p>
        </w:tc>
        <w:tc>
          <w:tcPr>
            <w:tcW w:w="4640" w:type="dxa"/>
            <w:tcBorders>
              <w:bottom w:val="single" w:sz="4" w:space="0" w:color="auto"/>
            </w:tcBorders>
            <w:shd w:val="clear" w:color="auto" w:fill="F2F2F2" w:themeFill="background1" w:themeFillShade="F2"/>
          </w:tcPr>
          <w:p w14:paraId="2DC7A21F"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(iii) </w:t>
            </w:r>
            <w:r w:rsidRPr="0016602B">
              <w:rPr>
                <w:rFonts w:ascii="Times" w:hAnsi="Times" w:cs="Times"/>
                <w:sz w:val="20"/>
                <w:szCs w:val="20"/>
              </w:rPr>
              <w:t>una descrizione delle procedure, delle politiche, dei dispositivi e dei sistemi del richiedente per la gestione della sicurezza e degli incidenti</w:t>
            </w:r>
            <w:r>
              <w:rPr>
                <w:rFonts w:ascii="Times" w:hAnsi="Times" w:cs="Times"/>
                <w:sz w:val="20"/>
                <w:szCs w:val="20"/>
              </w:rPr>
              <w:t>;</w:t>
            </w:r>
          </w:p>
        </w:tc>
        <w:tc>
          <w:tcPr>
            <w:tcW w:w="7513" w:type="dxa"/>
            <w:tcBorders>
              <w:bottom w:val="single" w:sz="4" w:space="0" w:color="auto"/>
            </w:tcBorders>
            <w:shd w:val="clear" w:color="auto" w:fill="FFFFFF" w:themeFill="background1"/>
          </w:tcPr>
          <w:p w14:paraId="5EA354E7"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E91248F" w14:textId="77777777" w:rsidTr="00796739">
        <w:trPr>
          <w:trHeight w:val="624"/>
        </w:trPr>
        <w:tc>
          <w:tcPr>
            <w:tcW w:w="2726" w:type="dxa"/>
            <w:vMerge/>
            <w:shd w:val="clear" w:color="auto" w:fill="F2F2F2" w:themeFill="background1" w:themeFillShade="F2"/>
            <w:vAlign w:val="center"/>
          </w:tcPr>
          <w:p w14:paraId="19DC8A6A" w14:textId="77777777" w:rsidR="00E54B34" w:rsidRPr="00670157" w:rsidRDefault="00E54B34" w:rsidP="00E54B34">
            <w:pPr>
              <w:spacing w:after="0" w:line="240" w:lineRule="auto"/>
              <w:jc w:val="both"/>
              <w:rPr>
                <w:rFonts w:ascii="Times" w:hAnsi="Times" w:cs="Times"/>
                <w:b/>
                <w:bCs/>
                <w:sz w:val="20"/>
                <w:szCs w:val="20"/>
              </w:rPr>
            </w:pPr>
          </w:p>
        </w:tc>
        <w:tc>
          <w:tcPr>
            <w:tcW w:w="4640" w:type="dxa"/>
            <w:tcBorders>
              <w:bottom w:val="single" w:sz="4" w:space="0" w:color="auto"/>
            </w:tcBorders>
            <w:shd w:val="clear" w:color="auto" w:fill="F2F2F2" w:themeFill="background1" w:themeFillShade="F2"/>
          </w:tcPr>
          <w:p w14:paraId="3CB6BDC1" w14:textId="77777777" w:rsidR="00E54B34" w:rsidRPr="005A3EFB" w:rsidRDefault="00E54B34" w:rsidP="00E54B34">
            <w:pPr>
              <w:spacing w:after="0" w:line="240" w:lineRule="auto"/>
              <w:jc w:val="both"/>
              <w:rPr>
                <w:rFonts w:ascii="Times" w:eastAsia="Times New Roman" w:hAnsi="Times" w:cs="Times"/>
                <w:sz w:val="20"/>
                <w:szCs w:val="20"/>
                <w:lang w:eastAsia="en-GB"/>
              </w:rPr>
            </w:pPr>
            <w:r w:rsidRPr="000F5074">
              <w:rPr>
                <w:rFonts w:ascii="Times" w:eastAsia="Times New Roman" w:hAnsi="Times" w:cs="Times"/>
                <w:sz w:val="20"/>
                <w:szCs w:val="20"/>
                <w:lang w:eastAsia="en-GB"/>
              </w:rPr>
              <w:t xml:space="preserve">(b) </w:t>
            </w:r>
            <w:r>
              <w:t xml:space="preserve"> </w:t>
            </w:r>
            <w:r w:rsidRPr="006E61E1">
              <w:rPr>
                <w:rFonts w:ascii="Times" w:eastAsia="Times New Roman" w:hAnsi="Times" w:cs="Times"/>
                <w:sz w:val="20"/>
                <w:szCs w:val="20"/>
                <w:lang w:eastAsia="en-GB"/>
              </w:rPr>
              <w:t>se disponibile, una descrizione di un audit sulla cibersicurezza condotto da un revisore della cibersicurezza terzo con sufficiente esperienza conformemente al regolamento delegato della Commissione che stabilisce norme tecniche adottate a norma dell’articolo 26, paragrafo 11, quarto comma, del regolamento (UE) 2022/2554, che comprenda idealmente gli audit o i test seguenti</w:t>
            </w:r>
            <w:r w:rsidRPr="005A3EFB">
              <w:rPr>
                <w:rFonts w:ascii="Times" w:eastAsia="Times New Roman" w:hAnsi="Times" w:cs="Times"/>
                <w:sz w:val="20"/>
                <w:szCs w:val="20"/>
                <w:lang w:eastAsia="en-GB"/>
              </w:rPr>
              <w:t xml:space="preserve">: </w:t>
            </w:r>
          </w:p>
          <w:p w14:paraId="499A6643" w14:textId="77777777" w:rsidR="00E54B34" w:rsidRPr="005A3EFB" w:rsidRDefault="00E54B34" w:rsidP="00E54B34">
            <w:pPr>
              <w:spacing w:after="0" w:line="240" w:lineRule="auto"/>
              <w:ind w:left="708"/>
              <w:jc w:val="both"/>
              <w:rPr>
                <w:rFonts w:ascii="Times" w:eastAsia="Times New Roman" w:hAnsi="Times" w:cs="Times"/>
                <w:sz w:val="20"/>
                <w:szCs w:val="20"/>
              </w:rPr>
            </w:pPr>
            <w:r w:rsidRPr="005A3EFB">
              <w:rPr>
                <w:rFonts w:ascii="Times" w:eastAsia="Times New Roman" w:hAnsi="Times" w:cs="Times"/>
                <w:sz w:val="20"/>
                <w:szCs w:val="20"/>
              </w:rPr>
              <w:t>(i)</w:t>
            </w:r>
            <w:r>
              <w:t xml:space="preserve"> </w:t>
            </w:r>
            <w:r w:rsidRPr="000A7186">
              <w:rPr>
                <w:rFonts w:ascii="Times" w:eastAsia="Times New Roman" w:hAnsi="Times" w:cs="Times"/>
                <w:sz w:val="20"/>
                <w:szCs w:val="20"/>
              </w:rPr>
              <w:t>dispositivi lungo tutto il ciclo di vita relativi alla cibersicurezza organizzativa, alla sicurezza fisica e allo sviluppo sicuro del software</w:t>
            </w:r>
            <w:r w:rsidRPr="0086059B">
              <w:rPr>
                <w:rFonts w:ascii="Times" w:eastAsia="Times New Roman" w:hAnsi="Times" w:cs="Times"/>
                <w:sz w:val="20"/>
                <w:szCs w:val="20"/>
              </w:rPr>
              <w:t>;</w:t>
            </w:r>
            <w:r w:rsidRPr="005A3EFB">
              <w:rPr>
                <w:rFonts w:ascii="Times" w:eastAsia="Times New Roman" w:hAnsi="Times" w:cs="Times"/>
                <w:sz w:val="20"/>
                <w:szCs w:val="20"/>
              </w:rPr>
              <w:t xml:space="preserve"> </w:t>
            </w:r>
          </w:p>
          <w:p w14:paraId="4351E750" w14:textId="77777777" w:rsidR="00E54B34" w:rsidRPr="000F5074" w:rsidRDefault="00E54B34" w:rsidP="00E54B34">
            <w:pPr>
              <w:spacing w:after="0" w:line="240" w:lineRule="auto"/>
              <w:ind w:left="708"/>
              <w:jc w:val="both"/>
              <w:rPr>
                <w:rFonts w:ascii="Times" w:eastAsia="Times New Roman" w:hAnsi="Times" w:cs="Times"/>
                <w:sz w:val="20"/>
                <w:szCs w:val="20"/>
              </w:rPr>
            </w:pPr>
            <w:r w:rsidRPr="005A3EFB">
              <w:rPr>
                <w:rFonts w:ascii="Times" w:eastAsia="Times New Roman" w:hAnsi="Times" w:cs="Times"/>
                <w:sz w:val="20"/>
                <w:szCs w:val="20"/>
              </w:rPr>
              <w:t>(ii)</w:t>
            </w:r>
            <w:r>
              <w:rPr>
                <w:rFonts w:ascii="Times" w:eastAsia="Times New Roman" w:hAnsi="Times" w:cs="Times"/>
                <w:sz w:val="20"/>
                <w:szCs w:val="20"/>
              </w:rPr>
              <w:t xml:space="preserve"> </w:t>
            </w:r>
            <w:r w:rsidRPr="000A7186">
              <w:rPr>
                <w:rFonts w:ascii="Times" w:eastAsia="Times New Roman" w:hAnsi="Times" w:cs="Times"/>
                <w:sz w:val="20"/>
                <w:szCs w:val="20"/>
              </w:rPr>
              <w:t>valutazioni e scansioni delle vulnerabilità e valutazioni della sicurezza della rete</w:t>
            </w:r>
            <w:r>
              <w:rPr>
                <w:rFonts w:ascii="Times" w:eastAsia="Times New Roman" w:hAnsi="Times" w:cs="Times"/>
                <w:sz w:val="20"/>
                <w:szCs w:val="20"/>
              </w:rPr>
              <w:t>;</w:t>
            </w:r>
          </w:p>
          <w:p w14:paraId="3823D323" w14:textId="77777777" w:rsidR="00E54B34" w:rsidRPr="000F5074" w:rsidRDefault="00E54B34" w:rsidP="00E54B34">
            <w:pPr>
              <w:spacing w:after="0" w:line="240" w:lineRule="auto"/>
              <w:ind w:left="708"/>
              <w:jc w:val="both"/>
              <w:rPr>
                <w:rFonts w:ascii="Times" w:eastAsia="Times New Roman" w:hAnsi="Times" w:cs="Times"/>
                <w:sz w:val="20"/>
                <w:szCs w:val="20"/>
              </w:rPr>
            </w:pPr>
            <w:r w:rsidRPr="000F5074">
              <w:rPr>
                <w:rFonts w:ascii="Times" w:eastAsia="Times New Roman" w:hAnsi="Times" w:cs="Times"/>
                <w:sz w:val="20"/>
                <w:szCs w:val="20"/>
              </w:rPr>
              <w:t xml:space="preserve">(iii) </w:t>
            </w:r>
            <w:r w:rsidRPr="000A7186">
              <w:rPr>
                <w:rFonts w:ascii="Times" w:eastAsia="Times New Roman" w:hAnsi="Times" w:cs="Times"/>
                <w:sz w:val="20"/>
                <w:szCs w:val="20"/>
              </w:rPr>
              <w:t xml:space="preserve">revisioni della configurazione delle risorse </w:t>
            </w:r>
            <w:r>
              <w:rPr>
                <w:rFonts w:ascii="Times" w:eastAsia="Times New Roman" w:hAnsi="Times" w:cs="Times"/>
                <w:sz w:val="20"/>
                <w:szCs w:val="20"/>
              </w:rPr>
              <w:t>TIC</w:t>
            </w:r>
            <w:r w:rsidRPr="000A7186">
              <w:rPr>
                <w:rFonts w:ascii="Times" w:eastAsia="Times New Roman" w:hAnsi="Times" w:cs="Times"/>
                <w:sz w:val="20"/>
                <w:szCs w:val="20"/>
              </w:rPr>
              <w:t xml:space="preserve"> a supporto di funzioni essenziali e importanti quali definite all’articolo 3, punto 22), del regolamento (UE) 2022/2554</w:t>
            </w:r>
            <w:r>
              <w:rPr>
                <w:rFonts w:ascii="Times" w:hAnsi="Times" w:cs="Times"/>
                <w:iCs/>
                <w:sz w:val="20"/>
                <w:szCs w:val="20"/>
              </w:rPr>
              <w:t>;</w:t>
            </w:r>
          </w:p>
          <w:p w14:paraId="5167AED8" w14:textId="77777777" w:rsidR="00E54B34" w:rsidRPr="000F5074" w:rsidRDefault="00E54B34" w:rsidP="00E54B34">
            <w:pPr>
              <w:spacing w:after="0" w:line="240" w:lineRule="auto"/>
              <w:ind w:left="708"/>
              <w:jc w:val="both"/>
              <w:rPr>
                <w:rFonts w:ascii="Times" w:eastAsia="Times New Roman" w:hAnsi="Times" w:cs="Times"/>
                <w:sz w:val="20"/>
                <w:szCs w:val="20"/>
              </w:rPr>
            </w:pPr>
            <w:r w:rsidRPr="000F5074">
              <w:rPr>
                <w:rFonts w:ascii="Times" w:eastAsia="Times New Roman" w:hAnsi="Times" w:cs="Times"/>
                <w:sz w:val="20"/>
                <w:szCs w:val="20"/>
              </w:rPr>
              <w:t xml:space="preserve">(iv) </w:t>
            </w:r>
            <w:r>
              <w:t xml:space="preserve"> </w:t>
            </w:r>
            <w:r w:rsidRPr="000A7186">
              <w:rPr>
                <w:rFonts w:ascii="Times" w:eastAsia="Times New Roman" w:hAnsi="Times" w:cs="Times"/>
                <w:sz w:val="20"/>
                <w:szCs w:val="20"/>
              </w:rPr>
              <w:t xml:space="preserve">test di penetrazione sulle risorse </w:t>
            </w:r>
            <w:r>
              <w:rPr>
                <w:rFonts w:ascii="Times" w:eastAsia="Times New Roman" w:hAnsi="Times" w:cs="Times"/>
                <w:sz w:val="20"/>
                <w:szCs w:val="20"/>
              </w:rPr>
              <w:t>TIC</w:t>
            </w:r>
            <w:r w:rsidRPr="000A7186">
              <w:rPr>
                <w:rFonts w:ascii="Times" w:eastAsia="Times New Roman" w:hAnsi="Times" w:cs="Times"/>
                <w:sz w:val="20"/>
                <w:szCs w:val="20"/>
              </w:rPr>
              <w:t xml:space="preserve"> a supporto di funzioni essenziali e importanti quali definiti all’articolo 3, punto 17), del regolamento (UE) 2022/2554, conformemente a tutti i metodi di prova di audit elencati di seguito</w:t>
            </w:r>
            <w:r w:rsidRPr="000F5074">
              <w:rPr>
                <w:rFonts w:ascii="Times" w:eastAsia="Times New Roman" w:hAnsi="Times" w:cs="Times"/>
                <w:sz w:val="20"/>
                <w:szCs w:val="20"/>
              </w:rPr>
              <w:t xml:space="preserve">: </w:t>
            </w:r>
          </w:p>
          <w:p w14:paraId="11AB791A" w14:textId="77777777" w:rsidR="00E54B34" w:rsidRPr="000F5074" w:rsidRDefault="00E54B34" w:rsidP="00E54B34">
            <w:pPr>
              <w:spacing w:after="0" w:line="240" w:lineRule="auto"/>
              <w:ind w:left="1416"/>
              <w:jc w:val="both"/>
              <w:rPr>
                <w:rFonts w:ascii="Times" w:eastAsia="Times New Roman" w:hAnsi="Times" w:cs="Times"/>
                <w:sz w:val="20"/>
                <w:szCs w:val="20"/>
              </w:rPr>
            </w:pPr>
            <w:r w:rsidRPr="000F5074">
              <w:rPr>
                <w:rFonts w:ascii="Times" w:eastAsia="Times New Roman" w:hAnsi="Times" w:cs="Times"/>
                <w:sz w:val="20"/>
                <w:szCs w:val="20"/>
              </w:rPr>
              <w:t xml:space="preserve">- </w:t>
            </w:r>
            <w:r>
              <w:rPr>
                <w:rFonts w:ascii="Times" w:eastAsia="Times New Roman" w:hAnsi="Times" w:cs="Times"/>
                <w:b/>
                <w:bCs/>
                <w:sz w:val="20"/>
                <w:szCs w:val="20"/>
              </w:rPr>
              <w:t>scatola nera</w:t>
            </w:r>
            <w:r w:rsidRPr="000F5074">
              <w:rPr>
                <w:rFonts w:ascii="Times" w:eastAsia="Times New Roman" w:hAnsi="Times" w:cs="Times"/>
                <w:sz w:val="20"/>
                <w:szCs w:val="20"/>
              </w:rPr>
              <w:t>:</w:t>
            </w:r>
            <w:r>
              <w:t xml:space="preserve"> </w:t>
            </w:r>
            <w:r w:rsidRPr="001C00AB">
              <w:rPr>
                <w:rFonts w:ascii="Times" w:eastAsia="Times New Roman" w:hAnsi="Times" w:cs="Times"/>
                <w:sz w:val="20"/>
                <w:szCs w:val="20"/>
              </w:rPr>
              <w:t xml:space="preserve">il revisore non dispone di altre informazioni oltre agli indirizzi IP e agli URL associati al bersaglio sottoposto ad audit. Questa fase è generalmente preceduta dalla scoperta di informazioni e dall’identificazione del bersaglio mediante l’interrogazione dei servizi del sistema dei nomi di dominio </w:t>
            </w:r>
            <w:r w:rsidRPr="001C00AB">
              <w:rPr>
                <w:rFonts w:ascii="Times" w:eastAsia="Times New Roman" w:hAnsi="Times" w:cs="Times"/>
                <w:sz w:val="20"/>
                <w:szCs w:val="20"/>
              </w:rPr>
              <w:lastRenderedPageBreak/>
              <w:t>(DNS), la scansione delle porte aperte, la scoperta della presenza di apparecchiature di filtraggio ecc</w:t>
            </w:r>
            <w:r>
              <w:rPr>
                <w:rFonts w:ascii="Times" w:eastAsia="Times New Roman" w:hAnsi="Times" w:cs="Times"/>
                <w:sz w:val="20"/>
                <w:szCs w:val="20"/>
              </w:rPr>
              <w:t>.;</w:t>
            </w:r>
            <w:r w:rsidRPr="000F5074">
              <w:rPr>
                <w:rFonts w:ascii="Times" w:eastAsia="Times New Roman" w:hAnsi="Times" w:cs="Times"/>
                <w:sz w:val="20"/>
                <w:szCs w:val="20"/>
              </w:rPr>
              <w:t xml:space="preserve"> </w:t>
            </w:r>
          </w:p>
          <w:p w14:paraId="7A518BBF" w14:textId="77777777" w:rsidR="00E54B34" w:rsidRPr="000F5074" w:rsidRDefault="00E54B34" w:rsidP="00E54B34">
            <w:pPr>
              <w:spacing w:after="0" w:line="240" w:lineRule="auto"/>
              <w:ind w:left="1416"/>
              <w:jc w:val="both"/>
              <w:rPr>
                <w:rFonts w:ascii="Times" w:eastAsia="Times New Roman" w:hAnsi="Times" w:cs="Times"/>
                <w:sz w:val="20"/>
                <w:szCs w:val="20"/>
              </w:rPr>
            </w:pPr>
            <w:r w:rsidRPr="000F5074">
              <w:rPr>
                <w:rFonts w:ascii="Times" w:eastAsia="Times New Roman" w:hAnsi="Times" w:cs="Times"/>
                <w:sz w:val="20"/>
                <w:szCs w:val="20"/>
              </w:rPr>
              <w:t xml:space="preserve">- </w:t>
            </w:r>
            <w:r>
              <w:rPr>
                <w:rFonts w:ascii="Times" w:eastAsia="Times New Roman" w:hAnsi="Times" w:cs="Times"/>
                <w:b/>
                <w:bCs/>
                <w:sz w:val="20"/>
                <w:szCs w:val="20"/>
              </w:rPr>
              <w:t>scatola grigia</w:t>
            </w:r>
            <w:r w:rsidRPr="000F5074">
              <w:rPr>
                <w:rFonts w:ascii="Times" w:eastAsia="Times New Roman" w:hAnsi="Times" w:cs="Times"/>
                <w:b/>
                <w:bCs/>
                <w:sz w:val="20"/>
                <w:szCs w:val="20"/>
              </w:rPr>
              <w:t>:</w:t>
            </w:r>
            <w:r>
              <w:t xml:space="preserve"> </w:t>
            </w:r>
            <w:r w:rsidRPr="001C00AB">
              <w:rPr>
                <w:rFonts w:ascii="Times" w:eastAsia="Times New Roman" w:hAnsi="Times" w:cs="Times"/>
                <w:sz w:val="20"/>
                <w:szCs w:val="20"/>
              </w:rPr>
              <w:t>i revisori dispongono delle conoscenze di un utente standard del sistema informatico (autenticazione legittima, postazione di lavoro «standard» ecc.). Gli identificatori possono appartenere a profili utente diversi per testare livelli di privilegio diversi;</w:t>
            </w:r>
            <w:r w:rsidRPr="000F5074">
              <w:rPr>
                <w:rFonts w:ascii="Times" w:eastAsia="Times New Roman" w:hAnsi="Times" w:cs="Times"/>
                <w:sz w:val="20"/>
                <w:szCs w:val="20"/>
              </w:rPr>
              <w:t xml:space="preserve"> </w:t>
            </w:r>
          </w:p>
          <w:p w14:paraId="256B0C29" w14:textId="77777777" w:rsidR="00E54B34" w:rsidRPr="000F5074" w:rsidRDefault="00E54B34" w:rsidP="00E54B34">
            <w:pPr>
              <w:spacing w:after="0" w:line="240" w:lineRule="auto"/>
              <w:ind w:left="1416"/>
              <w:jc w:val="both"/>
              <w:rPr>
                <w:rFonts w:ascii="Times" w:eastAsia="Times New Roman" w:hAnsi="Times" w:cs="Times"/>
                <w:sz w:val="20"/>
                <w:szCs w:val="20"/>
              </w:rPr>
            </w:pPr>
            <w:r w:rsidRPr="000F5074">
              <w:rPr>
                <w:rFonts w:ascii="Times" w:eastAsia="Times New Roman" w:hAnsi="Times" w:cs="Times"/>
                <w:sz w:val="20"/>
                <w:szCs w:val="20"/>
              </w:rPr>
              <w:t xml:space="preserve">- </w:t>
            </w:r>
            <w:r>
              <w:rPr>
                <w:rFonts w:ascii="Times" w:eastAsia="Times New Roman" w:hAnsi="Times" w:cs="Times"/>
                <w:b/>
                <w:bCs/>
                <w:sz w:val="20"/>
                <w:szCs w:val="20"/>
              </w:rPr>
              <w:t>scatola bianca</w:t>
            </w:r>
            <w:r w:rsidRPr="000F5074">
              <w:rPr>
                <w:rFonts w:ascii="Times" w:eastAsia="Times New Roman" w:hAnsi="Times" w:cs="Times"/>
                <w:sz w:val="20"/>
                <w:szCs w:val="20"/>
              </w:rPr>
              <w:t xml:space="preserve">: </w:t>
            </w:r>
            <w:r w:rsidRPr="001C00AB">
              <w:rPr>
                <w:rFonts w:ascii="Times" w:eastAsia="Times New Roman" w:hAnsi="Times" w:cs="Times"/>
                <w:sz w:val="20"/>
                <w:szCs w:val="20"/>
              </w:rPr>
              <w:t>i revisori dispongono di quante più informazioni tecniche possibile (architettura, codice sorgente, contatti telefonici, identificatori ecc.) prima di avviare l’analisi, nonché dell’accesso ai contatti tecnici relativi al bersaglio</w:t>
            </w:r>
            <w:r>
              <w:rPr>
                <w:rFonts w:ascii="Times" w:eastAsia="Times New Roman" w:hAnsi="Times" w:cs="Times"/>
                <w:sz w:val="20"/>
                <w:szCs w:val="20"/>
              </w:rPr>
              <w:t>;</w:t>
            </w:r>
          </w:p>
          <w:p w14:paraId="16BE386B" w14:textId="77777777" w:rsidR="00E54B34" w:rsidRPr="00670157" w:rsidRDefault="00E54B34" w:rsidP="00E54B34">
            <w:pPr>
              <w:spacing w:after="0" w:line="240" w:lineRule="auto"/>
              <w:ind w:left="746"/>
              <w:jc w:val="both"/>
              <w:rPr>
                <w:rFonts w:ascii="Times" w:eastAsia="Times New Roman" w:hAnsi="Times" w:cs="Times"/>
                <w:i/>
                <w:iCs/>
                <w:sz w:val="20"/>
                <w:szCs w:val="20"/>
                <w:lang w:eastAsia="en-GB"/>
              </w:rPr>
            </w:pPr>
            <w:r w:rsidRPr="000F5074">
              <w:rPr>
                <w:rFonts w:ascii="Times" w:eastAsia="Times New Roman" w:hAnsi="Times" w:cs="Times"/>
                <w:sz w:val="20"/>
                <w:szCs w:val="20"/>
              </w:rPr>
              <w:t>(v)</w:t>
            </w:r>
            <w:r>
              <w:t xml:space="preserve"> </w:t>
            </w:r>
            <w:r w:rsidRPr="001C00AB">
              <w:rPr>
                <w:rFonts w:ascii="Times" w:eastAsia="Times New Roman" w:hAnsi="Times" w:cs="Times"/>
                <w:sz w:val="20"/>
                <w:szCs w:val="20"/>
              </w:rPr>
              <w:t>se il richiedente utilizza e/o sviluppa contratti intelligenti, un riesame dei relativi codici sorgente per la cibersicurezza</w:t>
            </w:r>
            <w:r>
              <w:rPr>
                <w:rFonts w:ascii="Times" w:eastAsia="Times New Roman" w:hAnsi="Times" w:cs="Times"/>
                <w:sz w:val="20"/>
                <w:szCs w:val="20"/>
              </w:rPr>
              <w:t>;</w:t>
            </w:r>
          </w:p>
        </w:tc>
        <w:tc>
          <w:tcPr>
            <w:tcW w:w="7513" w:type="dxa"/>
            <w:tcBorders>
              <w:bottom w:val="single" w:sz="4" w:space="0" w:color="auto"/>
            </w:tcBorders>
            <w:shd w:val="clear" w:color="auto" w:fill="FFFFFF" w:themeFill="background1"/>
          </w:tcPr>
          <w:p w14:paraId="1A872B34" w14:textId="77777777" w:rsidR="00E54B34" w:rsidRPr="004C7B67" w:rsidRDefault="00E54B34" w:rsidP="004C7B67">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EAEDDDD" w14:textId="77777777" w:rsidTr="00796739">
        <w:trPr>
          <w:trHeight w:val="77"/>
        </w:trPr>
        <w:tc>
          <w:tcPr>
            <w:tcW w:w="2726" w:type="dxa"/>
            <w:vMerge/>
            <w:shd w:val="clear" w:color="auto" w:fill="F2F2F2" w:themeFill="background1" w:themeFillShade="F2"/>
            <w:vAlign w:val="center"/>
          </w:tcPr>
          <w:p w14:paraId="31346468" w14:textId="77777777" w:rsidR="00E54B34" w:rsidRPr="00670157" w:rsidRDefault="00E54B34" w:rsidP="00E54B34">
            <w:pPr>
              <w:spacing w:after="0" w:line="240" w:lineRule="auto"/>
              <w:jc w:val="both"/>
              <w:rPr>
                <w:rFonts w:ascii="Times" w:hAnsi="Times" w:cs="Times"/>
                <w:b/>
                <w:bCs/>
                <w:sz w:val="20"/>
                <w:szCs w:val="20"/>
              </w:rPr>
            </w:pPr>
          </w:p>
        </w:tc>
        <w:tc>
          <w:tcPr>
            <w:tcW w:w="4640" w:type="dxa"/>
            <w:tcBorders>
              <w:top w:val="single" w:sz="4" w:space="0" w:color="auto"/>
            </w:tcBorders>
            <w:shd w:val="clear" w:color="auto" w:fill="F2F2F2" w:themeFill="background1" w:themeFillShade="F2"/>
          </w:tcPr>
          <w:p w14:paraId="41FCB72F"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rPr>
              <w:t xml:space="preserve">(c) </w:t>
            </w:r>
            <w:r>
              <w:t xml:space="preserve"> </w:t>
            </w:r>
            <w:r w:rsidRPr="001C00AB">
              <w:rPr>
                <w:rFonts w:ascii="Times" w:eastAsia="Times New Roman" w:hAnsi="Times" w:cs="Times"/>
                <w:sz w:val="20"/>
                <w:szCs w:val="20"/>
              </w:rPr>
              <w:t xml:space="preserve">una descrizione degli audit effettuati sui sistemi </w:t>
            </w:r>
            <w:r>
              <w:rPr>
                <w:rFonts w:ascii="Times" w:eastAsia="Times New Roman" w:hAnsi="Times" w:cs="Times"/>
                <w:sz w:val="20"/>
                <w:szCs w:val="20"/>
              </w:rPr>
              <w:t>TIC</w:t>
            </w:r>
            <w:r w:rsidRPr="000A3076">
              <w:rPr>
                <w:rFonts w:ascii="Times" w:eastAsia="Times New Roman" w:hAnsi="Times" w:cs="Times"/>
                <w:sz w:val="20"/>
                <w:szCs w:val="20"/>
              </w:rPr>
              <w:t>, se del caso, compresi</w:t>
            </w:r>
            <w:r w:rsidRPr="001C00AB">
              <w:rPr>
                <w:rFonts w:ascii="Times" w:eastAsia="Times New Roman" w:hAnsi="Times" w:cs="Times"/>
                <w:sz w:val="20"/>
                <w:szCs w:val="20"/>
              </w:rPr>
              <w:t xml:space="preserve"> l’infrastruttura DLT e i dispositivi di sicurezza utilizzati</w:t>
            </w:r>
            <w:r>
              <w:rPr>
                <w:rFonts w:ascii="Times" w:eastAsia="Times New Roman" w:hAnsi="Times" w:cs="Times"/>
                <w:sz w:val="20"/>
                <w:szCs w:val="20"/>
              </w:rPr>
              <w:t>;</w:t>
            </w:r>
          </w:p>
        </w:tc>
        <w:tc>
          <w:tcPr>
            <w:tcW w:w="7513" w:type="dxa"/>
            <w:tcBorders>
              <w:top w:val="single" w:sz="4" w:space="0" w:color="auto"/>
            </w:tcBorders>
            <w:shd w:val="clear" w:color="auto" w:fill="FFFFFF" w:themeFill="background1"/>
          </w:tcPr>
          <w:p w14:paraId="170C51E8" w14:textId="3E6DACC6"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0299B923" w14:textId="77777777" w:rsidTr="00796739">
        <w:trPr>
          <w:trHeight w:val="624"/>
        </w:trPr>
        <w:tc>
          <w:tcPr>
            <w:tcW w:w="2726" w:type="dxa"/>
            <w:vMerge/>
            <w:tcBorders>
              <w:bottom w:val="single" w:sz="4" w:space="0" w:color="auto"/>
            </w:tcBorders>
            <w:shd w:val="clear" w:color="auto" w:fill="F2F2F2" w:themeFill="background1" w:themeFillShade="F2"/>
            <w:vAlign w:val="center"/>
          </w:tcPr>
          <w:p w14:paraId="2582440C" w14:textId="77777777" w:rsidR="00E54B34" w:rsidRPr="00670157" w:rsidRDefault="00E54B34" w:rsidP="00E54B34">
            <w:pPr>
              <w:spacing w:after="0" w:line="240" w:lineRule="auto"/>
              <w:jc w:val="both"/>
              <w:rPr>
                <w:rFonts w:ascii="Times" w:hAnsi="Times" w:cs="Times"/>
                <w:b/>
                <w:bCs/>
                <w:sz w:val="20"/>
                <w:szCs w:val="20"/>
              </w:rPr>
            </w:pPr>
          </w:p>
        </w:tc>
        <w:tc>
          <w:tcPr>
            <w:tcW w:w="4640" w:type="dxa"/>
            <w:tcBorders>
              <w:bottom w:val="single" w:sz="4" w:space="0" w:color="auto"/>
            </w:tcBorders>
            <w:shd w:val="clear" w:color="auto" w:fill="F2F2F2" w:themeFill="background1" w:themeFillShade="F2"/>
          </w:tcPr>
          <w:p w14:paraId="11795542"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sz w:val="20"/>
                <w:szCs w:val="20"/>
              </w:rPr>
              <w:t xml:space="preserve">(d) </w:t>
            </w:r>
            <w:r>
              <w:t xml:space="preserve"> </w:t>
            </w:r>
            <w:r w:rsidRPr="001C00AB">
              <w:rPr>
                <w:rFonts w:ascii="Times" w:eastAsia="Times New Roman" w:hAnsi="Times" w:cs="Times"/>
                <w:sz w:val="20"/>
                <w:szCs w:val="20"/>
              </w:rPr>
              <w:t>una descrizione delle informazioni pertinenti di cui alle lettere a) e b) in linguaggio non tecnico</w:t>
            </w:r>
            <w:r>
              <w:rPr>
                <w:rFonts w:ascii="Times" w:eastAsia="Times New Roman" w:hAnsi="Times" w:cs="Times"/>
                <w:sz w:val="20"/>
                <w:szCs w:val="20"/>
              </w:rPr>
              <w:t>.</w:t>
            </w:r>
          </w:p>
        </w:tc>
        <w:tc>
          <w:tcPr>
            <w:tcW w:w="7513" w:type="dxa"/>
            <w:tcBorders>
              <w:bottom w:val="single" w:sz="4" w:space="0" w:color="auto"/>
            </w:tcBorders>
            <w:shd w:val="clear" w:color="auto" w:fill="FFFFFF" w:themeFill="background1"/>
          </w:tcPr>
          <w:p w14:paraId="76C870BB" w14:textId="23CDC6E6"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6B418F77" w14:textId="77777777" w:rsidTr="00796739">
        <w:trPr>
          <w:trHeight w:val="624"/>
        </w:trPr>
        <w:tc>
          <w:tcPr>
            <w:tcW w:w="2726" w:type="dxa"/>
            <w:tcBorders>
              <w:bottom w:val="single" w:sz="4" w:space="0" w:color="auto"/>
            </w:tcBorders>
            <w:shd w:val="clear" w:color="auto" w:fill="DEEAF6" w:themeFill="accent1" w:themeFillTint="33"/>
            <w:vAlign w:val="center"/>
          </w:tcPr>
          <w:p w14:paraId="5E602949" w14:textId="77777777" w:rsidR="00E54B34" w:rsidRPr="00670157" w:rsidRDefault="00E54B34" w:rsidP="00E54B34">
            <w:pPr>
              <w:spacing w:after="0" w:line="240" w:lineRule="auto"/>
              <w:jc w:val="both"/>
              <w:rPr>
                <w:rFonts w:ascii="Times" w:hAnsi="Times" w:cs="Times"/>
                <w:b/>
                <w:bCs/>
                <w:sz w:val="20"/>
                <w:szCs w:val="20"/>
              </w:rPr>
            </w:pPr>
            <w:r w:rsidRPr="000057D4">
              <w:rPr>
                <w:rFonts w:ascii="Times" w:hAnsi="Times" w:cs="Times"/>
                <w:b/>
                <w:bCs/>
                <w:sz w:val="20"/>
                <w:szCs w:val="20"/>
              </w:rPr>
              <w:t xml:space="preserve">Integrazioni </w:t>
            </w:r>
            <w:r>
              <w:rPr>
                <w:rFonts w:ascii="Times" w:hAnsi="Times" w:cs="Times"/>
                <w:b/>
                <w:bCs/>
                <w:sz w:val="20"/>
                <w:szCs w:val="20"/>
              </w:rPr>
              <w:t>necessarie in caso di istanza come PSP</w:t>
            </w:r>
          </w:p>
        </w:tc>
        <w:tc>
          <w:tcPr>
            <w:tcW w:w="4640" w:type="dxa"/>
            <w:tcBorders>
              <w:bottom w:val="single" w:sz="4" w:space="0" w:color="auto"/>
            </w:tcBorders>
            <w:shd w:val="clear" w:color="auto" w:fill="DEEAF6" w:themeFill="accent1" w:themeFillTint="33"/>
          </w:tcPr>
          <w:p w14:paraId="2A1CD0DB" w14:textId="77777777" w:rsidR="00E54B34" w:rsidRPr="000C6E91" w:rsidRDefault="00E54B34" w:rsidP="00E54B34">
            <w:pPr>
              <w:spacing w:after="0" w:line="240" w:lineRule="auto"/>
              <w:jc w:val="both"/>
              <w:rPr>
                <w:rFonts w:ascii="Times" w:hAnsi="Times" w:cs="Times"/>
                <w:sz w:val="20"/>
                <w:szCs w:val="20"/>
              </w:rPr>
            </w:pPr>
            <w:r w:rsidRPr="000C6E91">
              <w:rPr>
                <w:rFonts w:ascii="Times" w:hAnsi="Times" w:cs="Times"/>
                <w:sz w:val="20"/>
                <w:szCs w:val="20"/>
              </w:rPr>
              <w:t>I CASP che intendono prestare servizi relativi a EMT qualificabili come servizi di pagamento ai sensi dell’Opinion dovranno applicare l’autenticazione forte del cliente (strong customer authentication – SCA) dal 2 marzo 2026.</w:t>
            </w:r>
          </w:p>
          <w:p w14:paraId="2E852B4A" w14:textId="77777777" w:rsidR="00E54B34" w:rsidRPr="000C6E91" w:rsidRDefault="00E54B34" w:rsidP="00E54B34">
            <w:pPr>
              <w:spacing w:after="0" w:line="240" w:lineRule="auto"/>
              <w:jc w:val="both"/>
              <w:rPr>
                <w:rFonts w:ascii="Times" w:eastAsia="Times New Roman" w:hAnsi="Times" w:cs="Times"/>
                <w:sz w:val="20"/>
                <w:szCs w:val="20"/>
              </w:rPr>
            </w:pPr>
            <w:r w:rsidRPr="000C6E91">
              <w:rPr>
                <w:rFonts w:ascii="Times" w:hAnsi="Times" w:cs="Times"/>
                <w:sz w:val="20"/>
                <w:szCs w:val="20"/>
              </w:rPr>
              <w:t xml:space="preserve">I CASP che intendono richiedere l’autorizzazione anche come PSP devono </w:t>
            </w:r>
            <w:r>
              <w:rPr>
                <w:rFonts w:ascii="Times" w:hAnsi="Times" w:cs="Times"/>
                <w:sz w:val="20"/>
                <w:szCs w:val="20"/>
              </w:rPr>
              <w:t xml:space="preserve">pertanto </w:t>
            </w:r>
            <w:r w:rsidRPr="000C6E91">
              <w:rPr>
                <w:rFonts w:ascii="Times" w:hAnsi="Times" w:cs="Times"/>
                <w:sz w:val="20"/>
                <w:szCs w:val="20"/>
              </w:rPr>
              <w:t xml:space="preserve">indicare le informazioni </w:t>
            </w:r>
            <w:r w:rsidRPr="000C6E91">
              <w:rPr>
                <w:rFonts w:ascii="Times" w:hAnsi="Times" w:cs="Times"/>
                <w:sz w:val="20"/>
                <w:szCs w:val="20"/>
              </w:rPr>
              <w:lastRenderedPageBreak/>
              <w:t>previste dall’allegato E, Sezione B, del Capitolo VI di cui alle Disposizioni di Vigilanza per IP e IMEL in materia di “Meccanismi di autenticazione”.</w:t>
            </w:r>
          </w:p>
        </w:tc>
        <w:tc>
          <w:tcPr>
            <w:tcW w:w="7513" w:type="dxa"/>
            <w:tcBorders>
              <w:bottom w:val="single" w:sz="4" w:space="0" w:color="auto"/>
            </w:tcBorders>
            <w:shd w:val="clear" w:color="auto" w:fill="DEEAF6" w:themeFill="accent1" w:themeFillTint="33"/>
          </w:tcPr>
          <w:p w14:paraId="45DA8588" w14:textId="17564D2C" w:rsidR="00E54B34" w:rsidRPr="004C7B67"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54AAF6B6" w14:textId="77777777" w:rsidTr="00A745F9">
        <w:trPr>
          <w:trHeight w:val="454"/>
        </w:trPr>
        <w:tc>
          <w:tcPr>
            <w:tcW w:w="14879" w:type="dxa"/>
            <w:gridSpan w:val="3"/>
            <w:tcBorders>
              <w:bottom w:val="single" w:sz="4" w:space="0" w:color="auto"/>
            </w:tcBorders>
            <w:shd w:val="clear" w:color="auto" w:fill="2E74B5" w:themeFill="accent1" w:themeFillShade="BF"/>
            <w:vAlign w:val="center"/>
          </w:tcPr>
          <w:p w14:paraId="4D29B8FF" w14:textId="77777777" w:rsidR="00E54B34" w:rsidRPr="005061C3" w:rsidRDefault="00E54B34" w:rsidP="00E54B34">
            <w:pPr>
              <w:pStyle w:val="Paragrafoelenco"/>
              <w:numPr>
                <w:ilvl w:val="0"/>
                <w:numId w:val="30"/>
              </w:numPr>
              <w:spacing w:after="0" w:line="240" w:lineRule="auto"/>
              <w:jc w:val="both"/>
              <w:rPr>
                <w:rFonts w:ascii="Times" w:eastAsia="Times New Roman" w:hAnsi="Times" w:cs="Times"/>
                <w:b/>
                <w:color w:val="FFFFFF" w:themeColor="background1"/>
                <w:lang w:val="it-IT"/>
              </w:rPr>
            </w:pPr>
            <w:r w:rsidRPr="007E1414">
              <w:rPr>
                <w:rFonts w:ascii="Times" w:eastAsia="Times New Roman" w:hAnsi="Times" w:cs="Times"/>
                <w:b/>
                <w:color w:val="FFFFFF" w:themeColor="background1"/>
                <w:lang w:val="it-IT"/>
              </w:rPr>
              <w:t>SEPARAZIONE E CUSTODIA DELLE CRIPTO-ATTIVITÀ E DEI FONDI DEI CLIENTI</w:t>
            </w:r>
          </w:p>
        </w:tc>
      </w:tr>
      <w:tr w:rsidR="00E54B34" w:rsidRPr="008B23C0" w14:paraId="4A549C82" w14:textId="77777777" w:rsidTr="00111686">
        <w:trPr>
          <w:trHeight w:val="397"/>
        </w:trPr>
        <w:tc>
          <w:tcPr>
            <w:tcW w:w="7366" w:type="dxa"/>
            <w:gridSpan w:val="2"/>
            <w:tcBorders>
              <w:top w:val="single" w:sz="4" w:space="0" w:color="auto"/>
            </w:tcBorders>
            <w:shd w:val="clear" w:color="auto" w:fill="F2F2F2" w:themeFill="background1" w:themeFillShade="F2"/>
            <w:vAlign w:val="center"/>
          </w:tcPr>
          <w:p w14:paraId="3DC7896C" w14:textId="77777777" w:rsidR="00E54B34" w:rsidRPr="00670157" w:rsidRDefault="00E54B34" w:rsidP="00E54B34">
            <w:pPr>
              <w:spacing w:after="0" w:line="240" w:lineRule="auto"/>
              <w:jc w:val="both"/>
              <w:rPr>
                <w:rFonts w:ascii="Times" w:eastAsia="Times New Roman" w:hAnsi="Times" w:cs="Times"/>
                <w:i/>
                <w:sz w:val="20"/>
                <w:szCs w:val="20"/>
                <w:lang w:eastAsia="en-GB"/>
              </w:rPr>
            </w:pPr>
            <w:r w:rsidRPr="006E61E1">
              <w:rPr>
                <w:rFonts w:ascii="Times" w:eastAsia="Times New Roman" w:hAnsi="Times" w:cs="Times"/>
                <w:iCs/>
                <w:sz w:val="20"/>
                <w:szCs w:val="20"/>
                <w:lang w:eastAsia="en-GB"/>
              </w:rPr>
              <w:t xml:space="preserve">Ai </w:t>
            </w:r>
            <w:r>
              <w:rPr>
                <w:rFonts w:ascii="Times" w:eastAsia="Times New Roman" w:hAnsi="Times" w:cs="Times"/>
                <w:iCs/>
                <w:sz w:val="20"/>
                <w:szCs w:val="20"/>
                <w:lang w:eastAsia="en-GB"/>
              </w:rPr>
              <w:t>sensi</w:t>
            </w:r>
            <w:r w:rsidRPr="006E61E1">
              <w:rPr>
                <w:rFonts w:ascii="Times" w:eastAsia="Times New Roman" w:hAnsi="Times" w:cs="Times"/>
                <w:iCs/>
                <w:sz w:val="20"/>
                <w:szCs w:val="20"/>
                <w:lang w:eastAsia="en-GB"/>
              </w:rPr>
              <w:t xml:space="preserve"> dell’articolo 62, paragrafo 2, lettera k), del regolamento (UE) 2023/1114</w:t>
            </w:r>
            <w:r>
              <w:rPr>
                <w:rFonts w:ascii="Times" w:eastAsia="Times New Roman" w:hAnsi="Times" w:cs="Times"/>
                <w:iCs/>
                <w:sz w:val="20"/>
                <w:szCs w:val="20"/>
                <w:lang w:eastAsia="en-GB"/>
              </w:rPr>
              <w:t xml:space="preserve"> e dell’articolo 10 del regolamento delegato (UE) della Commissione 2025/305</w:t>
            </w:r>
            <w:r w:rsidRPr="006E61E1">
              <w:rPr>
                <w:rFonts w:ascii="Times" w:eastAsia="Times New Roman" w:hAnsi="Times" w:cs="Times"/>
                <w:iCs/>
                <w:sz w:val="20"/>
                <w:szCs w:val="20"/>
                <w:lang w:eastAsia="en-GB"/>
              </w:rPr>
              <w:t>, i richiedenti che intendono detenere cripto-attività appartenenti a clienti o i mezzi di accesso a tali cripto-attività ovvero fondi dei clienti diversi dai token di moneta elettronica forniscono all’autorità competente una descrizione dettagliata delle proprie procedure per la separazione delle cripto-attività e dei fondi dei clienti, compresi tutti gli elementi seguenti:</w:t>
            </w:r>
            <w:r w:rsidRPr="000F5074" w:rsidDel="0005711E">
              <w:rPr>
                <w:rFonts w:ascii="Times" w:eastAsia="Times New Roman" w:hAnsi="Times" w:cs="Times"/>
                <w:iCs/>
                <w:sz w:val="20"/>
                <w:szCs w:val="20"/>
                <w:lang w:eastAsia="en-GB"/>
              </w:rPr>
              <w:t xml:space="preserve"> </w:t>
            </w:r>
          </w:p>
        </w:tc>
        <w:tc>
          <w:tcPr>
            <w:tcW w:w="7513" w:type="dxa"/>
            <w:tcBorders>
              <w:top w:val="single" w:sz="4" w:space="0" w:color="auto"/>
            </w:tcBorders>
            <w:shd w:val="clear" w:color="auto" w:fill="F2F2F2" w:themeFill="background1" w:themeFillShade="F2"/>
          </w:tcPr>
          <w:p w14:paraId="2AEFBDE4" w14:textId="77777777" w:rsidR="00E54B34" w:rsidRPr="009367D9" w:rsidRDefault="00E54B34" w:rsidP="00E54B34">
            <w:pPr>
              <w:spacing w:after="0" w:line="240" w:lineRule="auto"/>
              <w:jc w:val="both"/>
              <w:rPr>
                <w:rFonts w:ascii="Times" w:eastAsia="Times New Roman" w:hAnsi="Times" w:cs="Times"/>
                <w:i/>
                <w:color w:val="0070C0"/>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10, suddividendole in paragrafi.</w:t>
            </w:r>
          </w:p>
        </w:tc>
      </w:tr>
      <w:tr w:rsidR="00E54B34" w:rsidRPr="008B23C0" w14:paraId="70CE8CA1" w14:textId="77777777" w:rsidTr="00796739">
        <w:trPr>
          <w:trHeight w:val="624"/>
        </w:trPr>
        <w:tc>
          <w:tcPr>
            <w:tcW w:w="2726" w:type="dxa"/>
            <w:vMerge w:val="restart"/>
            <w:shd w:val="clear" w:color="auto" w:fill="F2F2F2" w:themeFill="background1" w:themeFillShade="F2"/>
            <w:vAlign w:val="center"/>
          </w:tcPr>
          <w:p w14:paraId="2B050869" w14:textId="77777777" w:rsidR="00E54B34" w:rsidRPr="0000724C" w:rsidRDefault="00E54B34" w:rsidP="00E54B34">
            <w:pPr>
              <w:spacing w:after="0" w:line="240" w:lineRule="auto"/>
              <w:jc w:val="both"/>
              <w:rPr>
                <w:rFonts w:ascii="Times" w:hAnsi="Times" w:cs="Times"/>
                <w:b/>
                <w:sz w:val="20"/>
                <w:szCs w:val="20"/>
              </w:rPr>
            </w:pPr>
            <w:r>
              <w:rPr>
                <w:rFonts w:ascii="Times" w:hAnsi="Times" w:cs="Times"/>
                <w:b/>
                <w:sz w:val="20"/>
                <w:szCs w:val="20"/>
              </w:rPr>
              <w:t>Segregazione delle cripto-attività e dei fondi dei clienti</w:t>
            </w:r>
          </w:p>
          <w:p w14:paraId="7B206E2C" w14:textId="77777777" w:rsidR="00E54B34" w:rsidRPr="0000724C"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62F7982" w14:textId="77777777" w:rsidR="00E54B34" w:rsidRPr="000F5074" w:rsidRDefault="00E54B34" w:rsidP="00E54B34">
            <w:pPr>
              <w:spacing w:after="0" w:line="240" w:lineRule="auto"/>
              <w:jc w:val="both"/>
              <w:rPr>
                <w:rFonts w:ascii="Times" w:hAnsi="Times" w:cs="Times"/>
                <w:iCs/>
                <w:sz w:val="20"/>
                <w:szCs w:val="20"/>
              </w:rPr>
            </w:pPr>
            <w:r w:rsidRPr="000F5074">
              <w:rPr>
                <w:rFonts w:ascii="Times" w:hAnsi="Times" w:cs="Times"/>
                <w:iCs/>
                <w:sz w:val="20"/>
                <w:szCs w:val="20"/>
              </w:rPr>
              <w:t xml:space="preserve">(a) </w:t>
            </w:r>
            <w:r>
              <w:t xml:space="preserve"> </w:t>
            </w:r>
            <w:r w:rsidRPr="008F2DCF">
              <w:rPr>
                <w:rFonts w:ascii="Times" w:hAnsi="Times" w:cs="Times"/>
                <w:iCs/>
                <w:sz w:val="20"/>
                <w:szCs w:val="20"/>
              </w:rPr>
              <w:t>in che modo il richiedente garantisce che</w:t>
            </w:r>
            <w:r w:rsidRPr="000F5074">
              <w:rPr>
                <w:rFonts w:ascii="Times" w:hAnsi="Times" w:cs="Times"/>
                <w:iCs/>
                <w:sz w:val="20"/>
                <w:szCs w:val="20"/>
              </w:rPr>
              <w:t xml:space="preserve">: </w:t>
            </w:r>
          </w:p>
          <w:p w14:paraId="06553CE2" w14:textId="77777777" w:rsidR="00E54B34" w:rsidRPr="00DC780A" w:rsidRDefault="00E54B34" w:rsidP="00E54B34">
            <w:pPr>
              <w:pStyle w:val="Paragrafoelenco"/>
              <w:numPr>
                <w:ilvl w:val="0"/>
                <w:numId w:val="11"/>
              </w:numPr>
              <w:spacing w:after="0" w:line="240" w:lineRule="auto"/>
              <w:contextualSpacing w:val="0"/>
              <w:jc w:val="both"/>
              <w:rPr>
                <w:rFonts w:ascii="Times" w:hAnsi="Times" w:cs="Times"/>
                <w:iCs/>
                <w:lang w:val="it-IT"/>
              </w:rPr>
            </w:pPr>
            <w:r w:rsidRPr="008F2DCF">
              <w:rPr>
                <w:rFonts w:ascii="Times" w:hAnsi="Times" w:cs="Times"/>
                <w:iCs/>
                <w:lang w:val="it-IT"/>
              </w:rPr>
              <w:t>i fondi dei clienti non siano utilizzati per conto proprio</w:t>
            </w:r>
            <w:r>
              <w:rPr>
                <w:rFonts w:ascii="Times" w:hAnsi="Times" w:cs="Times"/>
                <w:iCs/>
                <w:lang w:val="it-IT"/>
              </w:rPr>
              <w:t>;</w:t>
            </w:r>
          </w:p>
          <w:p w14:paraId="0F0D569D" w14:textId="77777777" w:rsidR="00E54B34" w:rsidRDefault="00E54B34" w:rsidP="00E54B34">
            <w:pPr>
              <w:pStyle w:val="Paragrafoelenco"/>
              <w:numPr>
                <w:ilvl w:val="0"/>
                <w:numId w:val="11"/>
              </w:numPr>
              <w:spacing w:after="0" w:line="240" w:lineRule="auto"/>
              <w:contextualSpacing w:val="0"/>
              <w:jc w:val="both"/>
              <w:rPr>
                <w:rFonts w:ascii="Times" w:hAnsi="Times" w:cs="Times"/>
                <w:iCs/>
                <w:lang w:val="it-IT"/>
              </w:rPr>
            </w:pPr>
            <w:r w:rsidRPr="008F2DCF">
              <w:rPr>
                <w:rFonts w:ascii="Times" w:hAnsi="Times" w:cs="Times"/>
                <w:iCs/>
                <w:lang w:val="it-IT"/>
              </w:rPr>
              <w:t>le cripto-attività appartenenti ai clienti non siano utilizzate per conto proprio</w:t>
            </w:r>
            <w:r>
              <w:rPr>
                <w:rFonts w:ascii="Times" w:hAnsi="Times" w:cs="Times"/>
                <w:iCs/>
                <w:lang w:val="it-IT"/>
              </w:rPr>
              <w:t>;</w:t>
            </w:r>
          </w:p>
          <w:p w14:paraId="0DC07478" w14:textId="77777777" w:rsidR="00E54B34" w:rsidRPr="00752C57" w:rsidRDefault="00E54B34" w:rsidP="00E54B34">
            <w:pPr>
              <w:pStyle w:val="Paragrafoelenco"/>
              <w:numPr>
                <w:ilvl w:val="0"/>
                <w:numId w:val="11"/>
              </w:numPr>
              <w:spacing w:after="0" w:line="240" w:lineRule="auto"/>
              <w:contextualSpacing w:val="0"/>
              <w:jc w:val="both"/>
              <w:rPr>
                <w:rFonts w:ascii="Times" w:hAnsi="Times" w:cs="Times"/>
                <w:iCs/>
                <w:lang w:val="it-IT"/>
              </w:rPr>
            </w:pPr>
            <w:r w:rsidRPr="008F2DCF">
              <w:rPr>
                <w:rFonts w:ascii="Times" w:hAnsi="Times" w:cs="Times"/>
                <w:iCs/>
                <w:lang w:val="it-IT"/>
              </w:rPr>
              <w:t>i portafogli che detengono cripto-attività dei clienti siano diversi dai portafogli propri del richiedente;</w:t>
            </w:r>
          </w:p>
        </w:tc>
        <w:tc>
          <w:tcPr>
            <w:tcW w:w="7513" w:type="dxa"/>
            <w:shd w:val="clear" w:color="auto" w:fill="FFFFFF" w:themeFill="background1"/>
          </w:tcPr>
          <w:p w14:paraId="2B40D23F" w14:textId="4AFD3540"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4BC488A1" w14:textId="77777777" w:rsidTr="00796739">
        <w:trPr>
          <w:trHeight w:val="624"/>
        </w:trPr>
        <w:tc>
          <w:tcPr>
            <w:tcW w:w="2726" w:type="dxa"/>
            <w:vMerge/>
            <w:shd w:val="clear" w:color="auto" w:fill="F2F2F2" w:themeFill="background1" w:themeFillShade="F2"/>
            <w:vAlign w:val="center"/>
          </w:tcPr>
          <w:p w14:paraId="3EF60336"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EE5F8DE"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(b) </w:t>
            </w:r>
            <w:r w:rsidRPr="007558E6">
              <w:rPr>
                <w:rFonts w:ascii="Times" w:hAnsi="Times" w:cs="Times"/>
                <w:sz w:val="20"/>
                <w:szCs w:val="20"/>
              </w:rPr>
              <w:t xml:space="preserve">una descrizione dettagliata del sistema di approvazione </w:t>
            </w:r>
            <w:r w:rsidRPr="000A3076">
              <w:rPr>
                <w:rFonts w:ascii="Times" w:hAnsi="Times" w:cs="Times"/>
                <w:sz w:val="20"/>
                <w:szCs w:val="20"/>
              </w:rPr>
              <w:t>delle chiavi crittografiche</w:t>
            </w:r>
            <w:r w:rsidRPr="000A3076">
              <w:t xml:space="preserve"> </w:t>
            </w:r>
            <w:r w:rsidRPr="000A3076">
              <w:rPr>
                <w:rFonts w:ascii="Times" w:hAnsi="Times" w:cs="Times"/>
                <w:sz w:val="20"/>
                <w:szCs w:val="20"/>
              </w:rPr>
              <w:t>e della custodia delle chiavi crittografiche, compresi i portafogli a firma multipla</w:t>
            </w:r>
            <w:r>
              <w:rPr>
                <w:rFonts w:ascii="Times" w:hAnsi="Times" w:cs="Times"/>
                <w:sz w:val="20"/>
                <w:szCs w:val="20"/>
              </w:rPr>
              <w:t>;</w:t>
            </w:r>
          </w:p>
        </w:tc>
        <w:tc>
          <w:tcPr>
            <w:tcW w:w="7513" w:type="dxa"/>
            <w:shd w:val="clear" w:color="auto" w:fill="FFFFFF" w:themeFill="background1"/>
          </w:tcPr>
          <w:p w14:paraId="57895D13" w14:textId="77777777"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24577A49" w14:textId="77777777" w:rsidTr="00796739">
        <w:trPr>
          <w:trHeight w:val="624"/>
        </w:trPr>
        <w:tc>
          <w:tcPr>
            <w:tcW w:w="2726" w:type="dxa"/>
            <w:vMerge/>
            <w:shd w:val="clear" w:color="auto" w:fill="F2F2F2" w:themeFill="background1" w:themeFillShade="F2"/>
            <w:vAlign w:val="center"/>
          </w:tcPr>
          <w:p w14:paraId="4DBA6373"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2862040"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lang w:eastAsia="en-GB"/>
              </w:rPr>
              <w:t xml:space="preserve">(c) </w:t>
            </w:r>
            <w:r>
              <w:rPr>
                <w:rFonts w:ascii="Times" w:eastAsia="Times New Roman" w:hAnsi="Times" w:cs="Times"/>
                <w:iCs/>
                <w:sz w:val="20"/>
                <w:szCs w:val="20"/>
                <w:lang w:eastAsia="en-GB"/>
              </w:rPr>
              <w:t>i</w:t>
            </w:r>
            <w:r w:rsidRPr="002A6BAA">
              <w:rPr>
                <w:rFonts w:ascii="Times" w:eastAsia="Times New Roman" w:hAnsi="Times" w:cs="Times"/>
                <w:iCs/>
                <w:sz w:val="20"/>
                <w:szCs w:val="20"/>
                <w:lang w:eastAsia="en-GB"/>
              </w:rPr>
              <w:t>l modo in cui il richiedente separa le cripto-attività dei clienti, anche dalle cripto-attività di altri clienti, laddove i portafogli contengano cripto-attività di più di un cliente (conti omnibus);</w:t>
            </w:r>
          </w:p>
        </w:tc>
        <w:tc>
          <w:tcPr>
            <w:tcW w:w="7513" w:type="dxa"/>
            <w:shd w:val="clear" w:color="auto" w:fill="FFFFFF" w:themeFill="background1"/>
          </w:tcPr>
          <w:p w14:paraId="6E8FF92F" w14:textId="77777777" w:rsidR="00E54B34" w:rsidRPr="00F41F42" w:rsidRDefault="00E54B34" w:rsidP="00F41F42">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7017A65" w14:textId="77777777" w:rsidTr="00796739">
        <w:trPr>
          <w:trHeight w:val="624"/>
        </w:trPr>
        <w:tc>
          <w:tcPr>
            <w:tcW w:w="2726" w:type="dxa"/>
            <w:vMerge/>
            <w:shd w:val="clear" w:color="auto" w:fill="F2F2F2" w:themeFill="background1" w:themeFillShade="F2"/>
            <w:vAlign w:val="center"/>
          </w:tcPr>
          <w:p w14:paraId="4AFB16D0"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DA710AB"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lang w:eastAsia="en-GB"/>
              </w:rPr>
              <w:t xml:space="preserve">(d) </w:t>
            </w:r>
            <w:r>
              <w:t xml:space="preserve"> </w:t>
            </w:r>
            <w:r w:rsidRPr="007C4DF8">
              <w:rPr>
                <w:rFonts w:ascii="Times" w:eastAsia="Times New Roman" w:hAnsi="Times" w:cs="Times"/>
                <w:iCs/>
                <w:sz w:val="20"/>
                <w:szCs w:val="20"/>
                <w:lang w:eastAsia="en-GB"/>
              </w:rPr>
              <w:t xml:space="preserve">una descrizione della procedura atta a garantire che i fondi dei clienti diversi dai token di moneta elettronica siano depositati presso una banca centrale o un ente creditizio entro la fine del giorno lavorativo successivo al giorno in cui tali fondi sono stati ricevuti e siano </w:t>
            </w:r>
            <w:r w:rsidRPr="007C4DF8">
              <w:rPr>
                <w:rFonts w:ascii="Times" w:eastAsia="Times New Roman" w:hAnsi="Times" w:cs="Times"/>
                <w:iCs/>
                <w:sz w:val="20"/>
                <w:szCs w:val="20"/>
                <w:lang w:eastAsia="en-GB"/>
              </w:rPr>
              <w:lastRenderedPageBreak/>
              <w:t>detenuti in un conto distinto da quelli utilizzati per detenere fondi appartenenti al richiedente</w:t>
            </w:r>
            <w:r>
              <w:rPr>
                <w:rFonts w:ascii="Times" w:eastAsia="Times New Roman" w:hAnsi="Times" w:cs="Times"/>
                <w:iCs/>
                <w:sz w:val="20"/>
                <w:szCs w:val="20"/>
                <w:lang w:eastAsia="en-GB"/>
              </w:rPr>
              <w:t>;</w:t>
            </w:r>
          </w:p>
        </w:tc>
        <w:tc>
          <w:tcPr>
            <w:tcW w:w="7513" w:type="dxa"/>
            <w:shd w:val="clear" w:color="auto" w:fill="FFFFFF" w:themeFill="background1"/>
          </w:tcPr>
          <w:p w14:paraId="2D372133" w14:textId="77777777"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35C1E8A5" w14:textId="77777777" w:rsidTr="00796739">
        <w:trPr>
          <w:trHeight w:val="624"/>
        </w:trPr>
        <w:tc>
          <w:tcPr>
            <w:tcW w:w="2726" w:type="dxa"/>
            <w:vMerge/>
            <w:shd w:val="clear" w:color="auto" w:fill="F2F2F2" w:themeFill="background1" w:themeFillShade="F2"/>
            <w:vAlign w:val="center"/>
          </w:tcPr>
          <w:p w14:paraId="4EC13880"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5A16F19"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lang w:eastAsia="en-GB"/>
              </w:rPr>
              <w:t xml:space="preserve">(e) </w:t>
            </w:r>
            <w:r>
              <w:t xml:space="preserve"> </w:t>
            </w:r>
            <w:r w:rsidRPr="00165839">
              <w:rPr>
                <w:rFonts w:ascii="Times" w:eastAsia="Times New Roman" w:hAnsi="Times" w:cs="Times"/>
                <w:iCs/>
                <w:sz w:val="20"/>
                <w:szCs w:val="20"/>
                <w:lang w:eastAsia="en-GB"/>
              </w:rPr>
              <w:t>qualora non intenda depositare fondi presso la banca centrale pertinente, quali fattori il richiedente prende in considerazione per selezionare gli enti creditizi presso i quali depositare i fondi dei clienti, comprese la politica di diversificazione del richiedente, se disponibile, e la frequenza di riesame della selezione degli enti creditizi presso i quali depositare i fondi dei clienti</w:t>
            </w:r>
            <w:r w:rsidRPr="000F5074">
              <w:rPr>
                <w:rFonts w:ascii="Times" w:eastAsia="Times New Roman" w:hAnsi="Times" w:cs="Times"/>
                <w:iCs/>
                <w:sz w:val="20"/>
                <w:szCs w:val="20"/>
                <w:lang w:eastAsia="en-GB"/>
              </w:rPr>
              <w:t xml:space="preserve">; </w:t>
            </w:r>
          </w:p>
        </w:tc>
        <w:tc>
          <w:tcPr>
            <w:tcW w:w="7513" w:type="dxa"/>
            <w:shd w:val="clear" w:color="auto" w:fill="FFFFFF" w:themeFill="background1"/>
          </w:tcPr>
          <w:p w14:paraId="7D3001CC" w14:textId="7E72DC81" w:rsidR="00E54B34" w:rsidRPr="00F41F42" w:rsidRDefault="00E54B34" w:rsidP="00F41F42">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55A55F64" w14:textId="77777777" w:rsidTr="00796739">
        <w:trPr>
          <w:trHeight w:val="624"/>
        </w:trPr>
        <w:tc>
          <w:tcPr>
            <w:tcW w:w="2726" w:type="dxa"/>
            <w:vMerge/>
            <w:shd w:val="clear" w:color="auto" w:fill="F2F2F2" w:themeFill="background1" w:themeFillShade="F2"/>
            <w:vAlign w:val="center"/>
          </w:tcPr>
          <w:p w14:paraId="6B06CD64" w14:textId="77777777" w:rsidR="00E54B34" w:rsidRPr="00670157" w:rsidRDefault="00E54B34" w:rsidP="00E54B34">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F027228" w14:textId="77777777" w:rsidR="00E54B34" w:rsidRPr="00670157" w:rsidRDefault="00E54B34" w:rsidP="00E54B34">
            <w:pPr>
              <w:spacing w:after="0" w:line="240" w:lineRule="auto"/>
              <w:jc w:val="both"/>
              <w:rPr>
                <w:rFonts w:ascii="Times" w:eastAsia="Times New Roman" w:hAnsi="Times" w:cs="Times"/>
                <w:i/>
                <w:iCs/>
                <w:sz w:val="20"/>
                <w:szCs w:val="20"/>
                <w:lang w:eastAsia="en-GB"/>
              </w:rPr>
            </w:pPr>
            <w:r w:rsidRPr="000F5074">
              <w:rPr>
                <w:rFonts w:ascii="Times" w:eastAsia="Times New Roman" w:hAnsi="Times" w:cs="Times"/>
                <w:iCs/>
                <w:sz w:val="20"/>
                <w:szCs w:val="20"/>
                <w:lang w:eastAsia="en-GB"/>
              </w:rPr>
              <w:t>(f)</w:t>
            </w:r>
            <w:r w:rsidRPr="000F5074">
              <w:rPr>
                <w:rFonts w:ascii="Times" w:hAnsi="Times" w:cs="Times"/>
                <w:sz w:val="20"/>
                <w:szCs w:val="20"/>
              </w:rPr>
              <w:t xml:space="preserve"> </w:t>
            </w:r>
            <w:r>
              <w:t xml:space="preserve"> </w:t>
            </w:r>
            <w:r w:rsidRPr="00165839">
              <w:rPr>
                <w:rFonts w:ascii="Times" w:eastAsia="Times New Roman" w:hAnsi="Times" w:cs="Times"/>
                <w:iCs/>
                <w:sz w:val="20"/>
                <w:szCs w:val="20"/>
                <w:lang w:eastAsia="en-GB"/>
              </w:rPr>
              <w:t>in che modo il richiedente garantisce che i clienti siano informati in un linguaggio chiaro, conciso e non tecnico in merito agli aspetti fondamentali dei sistemi, delle politiche e delle procedure del richiedente per conformarsi all’articolo 70, paragrafi 1, 2 e 3, del regolamento (UE) 2023/1114</w:t>
            </w:r>
            <w:r w:rsidRPr="000F5074">
              <w:rPr>
                <w:rFonts w:ascii="Times" w:eastAsia="Times New Roman" w:hAnsi="Times" w:cs="Times"/>
                <w:iCs/>
                <w:sz w:val="20"/>
                <w:szCs w:val="20"/>
                <w:lang w:eastAsia="en-GB"/>
              </w:rPr>
              <w:t>.</w:t>
            </w:r>
          </w:p>
        </w:tc>
        <w:tc>
          <w:tcPr>
            <w:tcW w:w="7513" w:type="dxa"/>
            <w:shd w:val="clear" w:color="auto" w:fill="FFFFFF" w:themeFill="background1"/>
          </w:tcPr>
          <w:p w14:paraId="1BE25A0D" w14:textId="77777777"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8B23C0" w14:paraId="76FE98C1" w14:textId="77777777" w:rsidTr="00796739">
        <w:trPr>
          <w:trHeight w:val="397"/>
        </w:trPr>
        <w:tc>
          <w:tcPr>
            <w:tcW w:w="2726" w:type="dxa"/>
            <w:vMerge/>
            <w:shd w:val="clear" w:color="auto" w:fill="F2F2F2" w:themeFill="background1" w:themeFillShade="F2"/>
            <w:vAlign w:val="center"/>
          </w:tcPr>
          <w:p w14:paraId="444961C9" w14:textId="77777777" w:rsidR="00E54B34" w:rsidRPr="00670157" w:rsidRDefault="00E54B34" w:rsidP="00E54B34">
            <w:pPr>
              <w:spacing w:after="0" w:line="240" w:lineRule="auto"/>
              <w:jc w:val="both"/>
              <w:rPr>
                <w:rFonts w:ascii="Times" w:hAnsi="Times" w:cs="Times"/>
                <w:b/>
                <w:sz w:val="20"/>
                <w:szCs w:val="20"/>
              </w:rPr>
            </w:pPr>
          </w:p>
        </w:tc>
        <w:tc>
          <w:tcPr>
            <w:tcW w:w="4640" w:type="dxa"/>
            <w:shd w:val="clear" w:color="auto" w:fill="F2F2F2" w:themeFill="background1" w:themeFillShade="F2"/>
          </w:tcPr>
          <w:p w14:paraId="4E39296B" w14:textId="77777777" w:rsidR="00E54B34" w:rsidRPr="00670157" w:rsidRDefault="00E54B34" w:rsidP="00E54B34">
            <w:pPr>
              <w:spacing w:after="0" w:line="240" w:lineRule="auto"/>
              <w:jc w:val="both"/>
              <w:rPr>
                <w:rFonts w:ascii="Times" w:eastAsia="Times New Roman" w:hAnsi="Times" w:cs="Times"/>
                <w:i/>
                <w:sz w:val="20"/>
                <w:szCs w:val="20"/>
                <w:lang w:eastAsia="en-GB"/>
              </w:rPr>
            </w:pPr>
            <w:r w:rsidRPr="00165839">
              <w:rPr>
                <w:rFonts w:ascii="Times" w:eastAsia="Times New Roman" w:hAnsi="Times" w:cs="Times"/>
                <w:i/>
                <w:sz w:val="20"/>
                <w:szCs w:val="20"/>
                <w:lang w:eastAsia="en-GB"/>
              </w:rPr>
              <w:t>Conformemente all’articolo 70, paragrafo 5, del regolamento (UE) 2023/1114, i prestatori di servizi per le cripto</w:t>
            </w:r>
            <w:r>
              <w:rPr>
                <w:rFonts w:ascii="Times" w:eastAsia="Times New Roman" w:hAnsi="Times" w:cs="Times"/>
                <w:i/>
                <w:sz w:val="20"/>
                <w:szCs w:val="20"/>
                <w:lang w:eastAsia="en-GB"/>
              </w:rPr>
              <w:t>-</w:t>
            </w:r>
            <w:r w:rsidRPr="00165839">
              <w:rPr>
                <w:rFonts w:ascii="Times" w:eastAsia="Times New Roman" w:hAnsi="Times" w:cs="Times"/>
                <w:i/>
                <w:sz w:val="20"/>
                <w:szCs w:val="20"/>
                <w:lang w:eastAsia="en-GB"/>
              </w:rPr>
              <w:t>attività che sono istituti di moneta elettronica o istituti di pagamento forniscono solo le informazioni di cui al paragrafo 1 del presente articolo in relazione alla separazione delle cripto-attività dei clienti</w:t>
            </w:r>
            <w:r w:rsidRPr="000F5074">
              <w:rPr>
                <w:rFonts w:ascii="Times" w:eastAsia="Times New Roman" w:hAnsi="Times" w:cs="Times"/>
                <w:i/>
                <w:sz w:val="20"/>
                <w:szCs w:val="20"/>
                <w:lang w:eastAsia="en-GB"/>
              </w:rPr>
              <w:t>.</w:t>
            </w:r>
          </w:p>
        </w:tc>
        <w:tc>
          <w:tcPr>
            <w:tcW w:w="7513" w:type="dxa"/>
            <w:shd w:val="clear" w:color="auto" w:fill="FFFFFF" w:themeFill="background1"/>
          </w:tcPr>
          <w:p w14:paraId="01F6E011" w14:textId="77777777" w:rsidR="00E54B34" w:rsidRPr="00F41F42" w:rsidRDefault="00E54B34" w:rsidP="00E54B34">
            <w:pPr>
              <w:spacing w:after="0" w:line="240" w:lineRule="auto"/>
              <w:jc w:val="both"/>
              <w:rPr>
                <w:rFonts w:ascii="Times" w:eastAsia="Times New Roman" w:hAnsi="Times" w:cs="Times"/>
                <w:iCs/>
                <w:color w:val="000000" w:themeColor="text1"/>
                <w:sz w:val="20"/>
                <w:szCs w:val="20"/>
                <w:lang w:eastAsia="en-GB"/>
              </w:rPr>
            </w:pPr>
          </w:p>
        </w:tc>
      </w:tr>
      <w:tr w:rsidR="00E54B34" w:rsidRPr="000F5074" w14:paraId="7EE93B21" w14:textId="77777777" w:rsidTr="00A745F9">
        <w:trPr>
          <w:trHeight w:val="482"/>
        </w:trPr>
        <w:tc>
          <w:tcPr>
            <w:tcW w:w="14879" w:type="dxa"/>
            <w:gridSpan w:val="3"/>
            <w:shd w:val="clear" w:color="auto" w:fill="2E74B5" w:themeFill="accent1" w:themeFillShade="BF"/>
            <w:vAlign w:val="center"/>
          </w:tcPr>
          <w:p w14:paraId="2037273E" w14:textId="77777777" w:rsidR="00E54B34" w:rsidRPr="00EA14B6" w:rsidRDefault="00E54B34" w:rsidP="00E54B34">
            <w:pPr>
              <w:pStyle w:val="Paragrafoelenco"/>
              <w:numPr>
                <w:ilvl w:val="0"/>
                <w:numId w:val="30"/>
              </w:numPr>
              <w:spacing w:after="0" w:line="240" w:lineRule="auto"/>
              <w:jc w:val="both"/>
              <w:rPr>
                <w:rFonts w:ascii="Times" w:eastAsia="Times New Roman" w:hAnsi="Times" w:cs="Times"/>
                <w:b/>
                <w:color w:val="FFFFFF" w:themeColor="background1"/>
                <w:lang w:val="it-IT"/>
              </w:rPr>
            </w:pPr>
            <w:r w:rsidRPr="00EA14B6">
              <w:rPr>
                <w:rFonts w:ascii="Times" w:eastAsia="Times New Roman" w:hAnsi="Times" w:cs="Times"/>
                <w:b/>
                <w:color w:val="FFFFFF" w:themeColor="background1"/>
                <w:lang w:val="it-IT"/>
              </w:rPr>
              <w:t>PROCEDURE DI TRATTAMENTO DEI RECLAMI</w:t>
            </w:r>
          </w:p>
        </w:tc>
      </w:tr>
      <w:tr w:rsidR="00E54B34" w:rsidRPr="0080402F" w14:paraId="61E6D9AB" w14:textId="77777777" w:rsidTr="00111686">
        <w:trPr>
          <w:trHeight w:val="781"/>
        </w:trPr>
        <w:tc>
          <w:tcPr>
            <w:tcW w:w="7366" w:type="dxa"/>
            <w:gridSpan w:val="2"/>
            <w:shd w:val="clear" w:color="auto" w:fill="F2F2F2" w:themeFill="background1" w:themeFillShade="F2"/>
            <w:vAlign w:val="center"/>
          </w:tcPr>
          <w:p w14:paraId="548E5760" w14:textId="77777777" w:rsidR="00E54B34" w:rsidRPr="00D030BB" w:rsidRDefault="00E54B34" w:rsidP="00E54B34">
            <w:pPr>
              <w:spacing w:after="0" w:line="240" w:lineRule="auto"/>
              <w:jc w:val="both"/>
              <w:rPr>
                <w:rFonts w:ascii="Times" w:eastAsia="Times New Roman" w:hAnsi="Times" w:cs="Times"/>
                <w:i/>
                <w:iCs/>
                <w:color w:val="000000" w:themeColor="text1"/>
                <w:sz w:val="20"/>
                <w:szCs w:val="20"/>
                <w:lang w:eastAsia="en-GB"/>
              </w:rPr>
            </w:pPr>
            <w:r w:rsidRPr="006E61E1">
              <w:rPr>
                <w:rFonts w:ascii="Times" w:eastAsia="Times New Roman" w:hAnsi="Times" w:cs="Times"/>
                <w:color w:val="000000" w:themeColor="text1"/>
                <w:sz w:val="20"/>
                <w:szCs w:val="20"/>
                <w:lang w:eastAsia="en-GB"/>
              </w:rPr>
              <w:t xml:space="preserve">Ai </w:t>
            </w:r>
            <w:r>
              <w:rPr>
                <w:rFonts w:ascii="Times" w:eastAsia="Times New Roman" w:hAnsi="Times" w:cs="Times"/>
                <w:color w:val="000000" w:themeColor="text1"/>
                <w:sz w:val="20"/>
                <w:szCs w:val="20"/>
                <w:lang w:eastAsia="en-GB"/>
              </w:rPr>
              <w:t>sensi</w:t>
            </w:r>
            <w:r w:rsidRPr="006E61E1">
              <w:rPr>
                <w:rFonts w:ascii="Times" w:eastAsia="Times New Roman" w:hAnsi="Times" w:cs="Times"/>
                <w:color w:val="000000" w:themeColor="text1"/>
                <w:sz w:val="20"/>
                <w:szCs w:val="20"/>
                <w:lang w:eastAsia="en-GB"/>
              </w:rPr>
              <w:t xml:space="preserve"> dell’articolo 62, paragrafo 2, lettera l), del regolamento (UE) 2023/1114</w:t>
            </w:r>
            <w:r>
              <w:rPr>
                <w:rFonts w:ascii="Times" w:eastAsia="Times New Roman" w:hAnsi="Times" w:cs="Times"/>
                <w:color w:val="000000" w:themeColor="text1"/>
                <w:sz w:val="20"/>
                <w:szCs w:val="20"/>
                <w:lang w:eastAsia="en-GB"/>
              </w:rPr>
              <w:t xml:space="preserve"> e dell’articolo 11 del regolamento delegato (UE) della Commissione 2025/305</w:t>
            </w:r>
            <w:r w:rsidRPr="006E61E1">
              <w:rPr>
                <w:rFonts w:ascii="Times" w:eastAsia="Times New Roman" w:hAnsi="Times" w:cs="Times"/>
                <w:color w:val="000000" w:themeColor="text1"/>
                <w:sz w:val="20"/>
                <w:szCs w:val="20"/>
                <w:lang w:eastAsia="en-GB"/>
              </w:rPr>
              <w:t>, i richiedenti forniscono all’autorità competente una descrizione dettagliata delle loro procedure di trattamento dei reclami, compresi tutti gli elementi seguenti</w:t>
            </w:r>
            <w:r w:rsidRPr="00D030BB">
              <w:rPr>
                <w:rFonts w:ascii="Times" w:eastAsia="Times New Roman" w:hAnsi="Times" w:cs="Times"/>
                <w:iCs/>
                <w:color w:val="000000" w:themeColor="text1"/>
                <w:sz w:val="20"/>
                <w:szCs w:val="20"/>
                <w:lang w:eastAsia="en-GB"/>
              </w:rPr>
              <w:t>:</w:t>
            </w:r>
          </w:p>
        </w:tc>
        <w:tc>
          <w:tcPr>
            <w:tcW w:w="7513" w:type="dxa"/>
            <w:shd w:val="clear" w:color="auto" w:fill="F2F2F2" w:themeFill="background1" w:themeFillShade="F2"/>
          </w:tcPr>
          <w:p w14:paraId="73BAD769" w14:textId="77777777" w:rsidR="00E54B34" w:rsidRPr="00E313C3" w:rsidRDefault="00E54B34" w:rsidP="00E54B34">
            <w:pPr>
              <w:spacing w:after="0" w:line="240" w:lineRule="auto"/>
              <w:jc w:val="both"/>
              <w:rPr>
                <w:rFonts w:ascii="Times" w:eastAsia="Times New Roman" w:hAnsi="Times" w:cs="Time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11, suddividendole in paragrafi.</w:t>
            </w:r>
          </w:p>
        </w:tc>
      </w:tr>
      <w:tr w:rsidR="00D55FE7" w:rsidRPr="008B23C0" w14:paraId="322761F2" w14:textId="77777777" w:rsidTr="00D55FE7">
        <w:trPr>
          <w:trHeight w:val="624"/>
        </w:trPr>
        <w:tc>
          <w:tcPr>
            <w:tcW w:w="2726" w:type="dxa"/>
            <w:vMerge w:val="restart"/>
            <w:shd w:val="clear" w:color="auto" w:fill="F2F2F2" w:themeFill="background1" w:themeFillShade="F2"/>
            <w:vAlign w:val="center"/>
          </w:tcPr>
          <w:p w14:paraId="70395F24" w14:textId="77777777" w:rsidR="00D55FE7" w:rsidRPr="0000724C" w:rsidRDefault="00D55FE7" w:rsidP="00E54B34">
            <w:pPr>
              <w:spacing w:after="0" w:line="240" w:lineRule="auto"/>
              <w:jc w:val="both"/>
              <w:rPr>
                <w:rFonts w:ascii="Times" w:hAnsi="Times" w:cs="Times"/>
                <w:b/>
                <w:bCs/>
                <w:sz w:val="20"/>
                <w:szCs w:val="20"/>
              </w:rPr>
            </w:pPr>
            <w:r>
              <w:rPr>
                <w:rFonts w:ascii="Times" w:hAnsi="Times" w:cs="Times"/>
                <w:b/>
                <w:bCs/>
                <w:sz w:val="20"/>
                <w:szCs w:val="20"/>
              </w:rPr>
              <w:t>Procedure di trattamento dei reclami</w:t>
            </w:r>
          </w:p>
        </w:tc>
        <w:tc>
          <w:tcPr>
            <w:tcW w:w="4640" w:type="dxa"/>
            <w:shd w:val="clear" w:color="auto" w:fill="F2F2F2" w:themeFill="background1" w:themeFillShade="F2"/>
          </w:tcPr>
          <w:p w14:paraId="6403E91A" w14:textId="77777777" w:rsidR="00D55FE7" w:rsidRPr="00670157" w:rsidRDefault="00D55FE7" w:rsidP="00E54B34">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(a) informazioni sulle risorse umane e tecniche </w:t>
            </w:r>
            <w:r>
              <w:rPr>
                <w:rFonts w:ascii="Times" w:hAnsi="Times" w:cs="Times"/>
                <w:sz w:val="20"/>
                <w:szCs w:val="20"/>
              </w:rPr>
              <w:t>assegnate</w:t>
            </w:r>
            <w:r w:rsidRPr="000F5074">
              <w:rPr>
                <w:rFonts w:ascii="Times" w:hAnsi="Times" w:cs="Times"/>
                <w:sz w:val="20"/>
                <w:szCs w:val="20"/>
              </w:rPr>
              <w:t xml:space="preserve"> </w:t>
            </w:r>
            <w:r>
              <w:rPr>
                <w:rFonts w:ascii="Times" w:hAnsi="Times" w:cs="Times"/>
                <w:sz w:val="20"/>
                <w:szCs w:val="20"/>
              </w:rPr>
              <w:t>al</w:t>
            </w:r>
            <w:r w:rsidRPr="000F5074">
              <w:rPr>
                <w:rFonts w:ascii="Times" w:hAnsi="Times" w:cs="Times"/>
                <w:sz w:val="20"/>
                <w:szCs w:val="20"/>
              </w:rPr>
              <w:t xml:space="preserve"> </w:t>
            </w:r>
            <w:r>
              <w:rPr>
                <w:rFonts w:ascii="Times" w:hAnsi="Times" w:cs="Times"/>
                <w:sz w:val="20"/>
                <w:szCs w:val="20"/>
              </w:rPr>
              <w:t>trattamento</w:t>
            </w:r>
            <w:r w:rsidRPr="000F5074">
              <w:rPr>
                <w:rFonts w:ascii="Times" w:hAnsi="Times" w:cs="Times"/>
                <w:sz w:val="20"/>
                <w:szCs w:val="20"/>
              </w:rPr>
              <w:t xml:space="preserve"> dei reclami</w:t>
            </w:r>
            <w:r>
              <w:rPr>
                <w:rFonts w:ascii="Times" w:hAnsi="Times" w:cs="Times"/>
                <w:sz w:val="20"/>
                <w:szCs w:val="20"/>
              </w:rPr>
              <w:t>;</w:t>
            </w:r>
          </w:p>
        </w:tc>
        <w:tc>
          <w:tcPr>
            <w:tcW w:w="7513" w:type="dxa"/>
            <w:shd w:val="clear" w:color="auto" w:fill="FFFFFF" w:themeFill="background1"/>
          </w:tcPr>
          <w:p w14:paraId="0512828F" w14:textId="77777777" w:rsidR="00D55FE7" w:rsidRPr="00F41F42" w:rsidRDefault="00D55FE7" w:rsidP="00F41F42">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F0A00E6" w14:textId="77777777" w:rsidTr="00D55FE7">
        <w:trPr>
          <w:trHeight w:val="624"/>
        </w:trPr>
        <w:tc>
          <w:tcPr>
            <w:tcW w:w="2726" w:type="dxa"/>
            <w:vMerge/>
            <w:shd w:val="clear" w:color="auto" w:fill="F2F2F2" w:themeFill="background1" w:themeFillShade="F2"/>
            <w:vAlign w:val="center"/>
          </w:tcPr>
          <w:p w14:paraId="2B116F85"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56F01490" w14:textId="4B0F9E88"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hAnsi="Times" w:cs="Times"/>
                <w:sz w:val="20"/>
                <w:szCs w:val="20"/>
              </w:rPr>
              <w:t>(b</w:t>
            </w:r>
            <w:r w:rsidRPr="00F2365B">
              <w:rPr>
                <w:rFonts w:ascii="Times" w:hAnsi="Times" w:cs="Times"/>
                <w:sz w:val="20"/>
                <w:szCs w:val="20"/>
              </w:rPr>
              <w:t>) informazioni sulla persona responsabile delle risorse destinate alla gestione dei reclami, unitamente a un curriculum vitae</w:t>
            </w:r>
            <w:r w:rsidRPr="00F2365B">
              <w:t xml:space="preserve"> </w:t>
            </w:r>
            <w:r w:rsidRPr="00F2365B">
              <w:rPr>
                <w:rFonts w:ascii="Times" w:hAnsi="Times" w:cs="Times"/>
                <w:sz w:val="20"/>
                <w:szCs w:val="20"/>
              </w:rPr>
              <w:t xml:space="preserve">che indichi l’istruzione, la formazione </w:t>
            </w:r>
            <w:r w:rsidRPr="00F2365B">
              <w:rPr>
                <w:rFonts w:ascii="Times" w:hAnsi="Times" w:cs="Times"/>
                <w:sz w:val="20"/>
                <w:szCs w:val="20"/>
              </w:rPr>
              <w:lastRenderedPageBreak/>
              <w:t>professionale e l’esperienza professionale pertinenti che giustificano le conoscenze, le competenze</w:t>
            </w:r>
            <w:r w:rsidRPr="00165839">
              <w:rPr>
                <w:rFonts w:ascii="Times" w:hAnsi="Times" w:cs="Times"/>
                <w:sz w:val="20"/>
                <w:szCs w:val="20"/>
              </w:rPr>
              <w:t xml:space="preserve"> e l’esperienza ai fini dell’adempimento delle responsabilità attribuite a tale persona</w:t>
            </w:r>
            <w:r>
              <w:rPr>
                <w:rFonts w:ascii="Times" w:hAnsi="Times" w:cs="Times"/>
                <w:sz w:val="20"/>
                <w:szCs w:val="20"/>
              </w:rPr>
              <w:t>;</w:t>
            </w:r>
          </w:p>
        </w:tc>
        <w:tc>
          <w:tcPr>
            <w:tcW w:w="7513" w:type="dxa"/>
            <w:shd w:val="clear" w:color="auto" w:fill="FFFFFF" w:themeFill="background1"/>
          </w:tcPr>
          <w:p w14:paraId="5351AA95"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132DC66B" w14:textId="77777777" w:rsidTr="00D55FE7">
        <w:trPr>
          <w:trHeight w:val="624"/>
        </w:trPr>
        <w:tc>
          <w:tcPr>
            <w:tcW w:w="2726" w:type="dxa"/>
            <w:vMerge/>
            <w:shd w:val="clear" w:color="auto" w:fill="F2F2F2" w:themeFill="background1" w:themeFillShade="F2"/>
            <w:vAlign w:val="center"/>
          </w:tcPr>
          <w:p w14:paraId="43F03557"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713B25CA" w14:textId="3141A49E"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(c) </w:t>
            </w:r>
            <w:r>
              <w:rPr>
                <w:rFonts w:ascii="Times" w:eastAsia="Times New Roman" w:hAnsi="Times" w:cs="Times"/>
                <w:iCs/>
                <w:sz w:val="20"/>
                <w:szCs w:val="20"/>
                <w:lang w:eastAsia="en-GB"/>
              </w:rPr>
              <w:t>in che modo</w:t>
            </w:r>
            <w:r w:rsidRPr="000F5074">
              <w:rPr>
                <w:rFonts w:ascii="Times" w:eastAsia="Times New Roman" w:hAnsi="Times" w:cs="Times"/>
                <w:iCs/>
                <w:sz w:val="20"/>
                <w:szCs w:val="20"/>
                <w:lang w:eastAsia="en-GB"/>
              </w:rPr>
              <w:t xml:space="preserve"> il </w:t>
            </w:r>
            <w:r w:rsidRPr="005A3EFB">
              <w:rPr>
                <w:rFonts w:ascii="Times" w:eastAsia="Times New Roman" w:hAnsi="Times" w:cs="Times"/>
                <w:iCs/>
                <w:sz w:val="20"/>
                <w:szCs w:val="20"/>
                <w:lang w:eastAsia="en-GB"/>
              </w:rPr>
              <w:t xml:space="preserve">richiedente </w:t>
            </w:r>
            <w:r>
              <w:rPr>
                <w:rFonts w:ascii="Times" w:eastAsia="Times New Roman" w:hAnsi="Times" w:cs="Times"/>
                <w:iCs/>
                <w:sz w:val="20"/>
                <w:szCs w:val="20"/>
                <w:lang w:eastAsia="en-GB"/>
              </w:rPr>
              <w:t>garantisce</w:t>
            </w:r>
            <w:r w:rsidRPr="005A3EFB">
              <w:rPr>
                <w:rFonts w:ascii="Times" w:eastAsia="Times New Roman" w:hAnsi="Times" w:cs="Times"/>
                <w:iCs/>
                <w:sz w:val="20"/>
                <w:szCs w:val="20"/>
                <w:lang w:eastAsia="en-GB"/>
              </w:rPr>
              <w:t xml:space="preserve"> la conformità </w:t>
            </w:r>
            <w:r>
              <w:rPr>
                <w:rFonts w:ascii="Times" w:eastAsia="Times New Roman" w:hAnsi="Times" w:cs="Times"/>
                <w:iCs/>
                <w:sz w:val="20"/>
                <w:szCs w:val="20"/>
                <w:lang w:eastAsia="en-GB"/>
              </w:rPr>
              <w:t xml:space="preserve">al regolamento delegato </w:t>
            </w:r>
            <w:r w:rsidRPr="002765B5">
              <w:rPr>
                <w:rFonts w:ascii="Times" w:eastAsia="Times New Roman" w:hAnsi="Times" w:cs="Times"/>
                <w:iCs/>
                <w:sz w:val="20"/>
                <w:szCs w:val="20"/>
                <w:lang w:eastAsia="en-GB"/>
              </w:rPr>
              <w:t>che stabilisce le norme tecniche adottate ai sensi dell'</w:t>
            </w:r>
            <w:r>
              <w:rPr>
                <w:rFonts w:ascii="Times" w:eastAsia="Times New Roman" w:hAnsi="Times" w:cs="Times"/>
                <w:iCs/>
                <w:sz w:val="20"/>
                <w:szCs w:val="20"/>
                <w:lang w:eastAsia="en-GB"/>
              </w:rPr>
              <w:t>a</w:t>
            </w:r>
            <w:r w:rsidRPr="002765B5">
              <w:rPr>
                <w:rFonts w:ascii="Times" w:eastAsia="Times New Roman" w:hAnsi="Times" w:cs="Times"/>
                <w:iCs/>
                <w:sz w:val="20"/>
                <w:szCs w:val="20"/>
                <w:lang w:eastAsia="en-GB"/>
              </w:rPr>
              <w:t>rt</w:t>
            </w:r>
            <w:r>
              <w:rPr>
                <w:rFonts w:ascii="Times" w:eastAsia="Times New Roman" w:hAnsi="Times" w:cs="Times"/>
                <w:iCs/>
                <w:sz w:val="20"/>
                <w:szCs w:val="20"/>
                <w:lang w:eastAsia="en-GB"/>
              </w:rPr>
              <w:t>.</w:t>
            </w:r>
            <w:r w:rsidRPr="002765B5">
              <w:rPr>
                <w:rFonts w:ascii="Times" w:eastAsia="Times New Roman" w:hAnsi="Times" w:cs="Times"/>
                <w:iCs/>
                <w:sz w:val="20"/>
                <w:szCs w:val="20"/>
                <w:lang w:eastAsia="en-GB"/>
              </w:rPr>
              <w:t xml:space="preserve"> 7</w:t>
            </w:r>
            <w:r>
              <w:rPr>
                <w:rFonts w:ascii="Times" w:eastAsia="Times New Roman" w:hAnsi="Times" w:cs="Times"/>
                <w:iCs/>
                <w:sz w:val="20"/>
                <w:szCs w:val="20"/>
                <w:lang w:eastAsia="en-GB"/>
              </w:rPr>
              <w:t xml:space="preserve">1, paragrafo 5, </w:t>
            </w:r>
            <w:r w:rsidRPr="002765B5">
              <w:rPr>
                <w:rFonts w:ascii="Times" w:eastAsia="Times New Roman" w:hAnsi="Times" w:cs="Times"/>
                <w:iCs/>
                <w:sz w:val="20"/>
                <w:szCs w:val="20"/>
                <w:lang w:eastAsia="en-GB"/>
              </w:rPr>
              <w:t xml:space="preserve">del </w:t>
            </w:r>
            <w:r>
              <w:rPr>
                <w:rFonts w:ascii="Times" w:eastAsia="Times New Roman" w:hAnsi="Times" w:cs="Times"/>
                <w:iCs/>
                <w:sz w:val="20"/>
                <w:szCs w:val="20"/>
                <w:lang w:eastAsia="en-GB"/>
              </w:rPr>
              <w:t>Regolamento (UE)</w:t>
            </w:r>
            <w:r w:rsidRPr="002765B5">
              <w:rPr>
                <w:rFonts w:ascii="Times" w:eastAsia="Times New Roman" w:hAnsi="Times" w:cs="Times"/>
                <w:iCs/>
                <w:sz w:val="20"/>
                <w:szCs w:val="20"/>
                <w:lang w:eastAsia="en-GB"/>
              </w:rPr>
              <w:t xml:space="preserve"> 2023/1114</w:t>
            </w:r>
            <w:r>
              <w:rPr>
                <w:rFonts w:ascii="Times" w:eastAsia="Times New Roman" w:hAnsi="Times" w:cs="Times"/>
                <w:iCs/>
                <w:sz w:val="20"/>
                <w:szCs w:val="20"/>
                <w:lang w:eastAsia="en-GB"/>
              </w:rPr>
              <w:t>;</w:t>
            </w:r>
          </w:p>
        </w:tc>
        <w:tc>
          <w:tcPr>
            <w:tcW w:w="7513" w:type="dxa"/>
            <w:shd w:val="clear" w:color="auto" w:fill="FFFFFF" w:themeFill="background1"/>
          </w:tcPr>
          <w:p w14:paraId="0525B8C3"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2BEFB844" w14:textId="77777777" w:rsidTr="00D55FE7">
        <w:trPr>
          <w:trHeight w:val="624"/>
        </w:trPr>
        <w:tc>
          <w:tcPr>
            <w:tcW w:w="2726" w:type="dxa"/>
            <w:vMerge/>
            <w:shd w:val="clear" w:color="auto" w:fill="F2F2F2" w:themeFill="background1" w:themeFillShade="F2"/>
            <w:vAlign w:val="center"/>
          </w:tcPr>
          <w:p w14:paraId="2528BD41"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26F12375" w14:textId="3E5519BD"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(d) </w:t>
            </w:r>
            <w:r>
              <w:t xml:space="preserve"> </w:t>
            </w:r>
            <w:r w:rsidRPr="0024552B">
              <w:rPr>
                <w:rFonts w:ascii="Times" w:eastAsia="Times New Roman" w:hAnsi="Times" w:cs="Times"/>
                <w:iCs/>
                <w:sz w:val="20"/>
                <w:szCs w:val="20"/>
                <w:lang w:eastAsia="en-GB"/>
              </w:rPr>
              <w:t>in che modo il richiedente informerà i clienti o potenziali clienti della possibilità di presentare un reclamo a titolo gratuito, la collocazione di tali informazioni sul sito web del richiedente o su qualsiasi altro dispositivo digitale pertinente che possa essere utilizzato dai clienti per accedere ai servizi per le cripto-attività e al contenuto delle informazioni fornite</w:t>
            </w:r>
            <w:r>
              <w:rPr>
                <w:rFonts w:ascii="Times" w:eastAsia="Times New Roman" w:hAnsi="Times" w:cs="Times"/>
                <w:iCs/>
                <w:sz w:val="20"/>
                <w:szCs w:val="20"/>
                <w:lang w:eastAsia="en-GB"/>
              </w:rPr>
              <w:t>;</w:t>
            </w:r>
          </w:p>
        </w:tc>
        <w:tc>
          <w:tcPr>
            <w:tcW w:w="7513" w:type="dxa"/>
            <w:shd w:val="clear" w:color="auto" w:fill="FFFFFF" w:themeFill="background1"/>
          </w:tcPr>
          <w:p w14:paraId="0BEA05D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1FAC7467" w14:textId="77777777" w:rsidTr="00D55FE7">
        <w:trPr>
          <w:trHeight w:val="624"/>
        </w:trPr>
        <w:tc>
          <w:tcPr>
            <w:tcW w:w="2726" w:type="dxa"/>
            <w:vMerge/>
            <w:shd w:val="clear" w:color="auto" w:fill="F2F2F2" w:themeFill="background1" w:themeFillShade="F2"/>
            <w:vAlign w:val="center"/>
          </w:tcPr>
          <w:p w14:paraId="3F68738E"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2525D339" w14:textId="61C9476B"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(e) </w:t>
            </w:r>
            <w:r w:rsidRPr="0024552B">
              <w:rPr>
                <w:rFonts w:ascii="Times" w:eastAsia="Times New Roman" w:hAnsi="Times" w:cs="Times"/>
                <w:iCs/>
                <w:sz w:val="20"/>
                <w:szCs w:val="20"/>
                <w:lang w:eastAsia="en-GB"/>
              </w:rPr>
              <w:t>le modalità di tenuta delle registrazioni del richiedente in relazione ai reclami</w:t>
            </w:r>
            <w:r>
              <w:rPr>
                <w:rFonts w:ascii="Times" w:eastAsia="Times New Roman" w:hAnsi="Times" w:cs="Times"/>
                <w:iCs/>
                <w:sz w:val="20"/>
                <w:szCs w:val="20"/>
                <w:lang w:eastAsia="en-GB"/>
              </w:rPr>
              <w:t>;</w:t>
            </w:r>
          </w:p>
        </w:tc>
        <w:tc>
          <w:tcPr>
            <w:tcW w:w="7513" w:type="dxa"/>
            <w:shd w:val="clear" w:color="auto" w:fill="FFFFFF" w:themeFill="background1"/>
          </w:tcPr>
          <w:p w14:paraId="3724F3DF"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3475C7DD" w14:textId="77777777" w:rsidTr="00D55FE7">
        <w:trPr>
          <w:trHeight w:val="624"/>
        </w:trPr>
        <w:tc>
          <w:tcPr>
            <w:tcW w:w="2726" w:type="dxa"/>
            <w:vMerge/>
            <w:shd w:val="clear" w:color="auto" w:fill="F2F2F2" w:themeFill="background1" w:themeFillShade="F2"/>
            <w:vAlign w:val="center"/>
          </w:tcPr>
          <w:p w14:paraId="1A108721"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071CC346" w14:textId="01C5B2F6"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(f) </w:t>
            </w:r>
            <w:r w:rsidRPr="0024552B">
              <w:rPr>
                <w:rFonts w:ascii="Times" w:eastAsia="Times New Roman" w:hAnsi="Times" w:cs="Times"/>
                <w:iCs/>
                <w:sz w:val="20"/>
                <w:szCs w:val="20"/>
                <w:lang w:eastAsia="en-GB"/>
              </w:rPr>
              <w:t>la tempistica prevista nelle procedure di trattamento dei reclami del richiedente per indagare, rispondere e, se del caso, adottare misure in risposta ai reclami ricevuti</w:t>
            </w:r>
            <w:r>
              <w:rPr>
                <w:rFonts w:ascii="Times" w:eastAsia="Times New Roman" w:hAnsi="Times" w:cs="Times"/>
                <w:iCs/>
                <w:sz w:val="20"/>
                <w:szCs w:val="20"/>
                <w:lang w:eastAsia="en-GB"/>
              </w:rPr>
              <w:t>;</w:t>
            </w:r>
          </w:p>
        </w:tc>
        <w:tc>
          <w:tcPr>
            <w:tcW w:w="7513" w:type="dxa"/>
            <w:shd w:val="clear" w:color="auto" w:fill="FFFFFF" w:themeFill="background1"/>
          </w:tcPr>
          <w:p w14:paraId="757C167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9C589FA" w14:textId="77777777" w:rsidTr="00D55FE7">
        <w:trPr>
          <w:trHeight w:val="624"/>
        </w:trPr>
        <w:tc>
          <w:tcPr>
            <w:tcW w:w="2726" w:type="dxa"/>
            <w:vMerge/>
            <w:shd w:val="clear" w:color="auto" w:fill="F2F2F2" w:themeFill="background1" w:themeFillShade="F2"/>
            <w:vAlign w:val="center"/>
          </w:tcPr>
          <w:p w14:paraId="07AEC2A0"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566D2AE6" w14:textId="186F27BD" w:rsidR="00D55FE7" w:rsidRPr="000F5074"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(g) </w:t>
            </w:r>
            <w:r>
              <w:t xml:space="preserve"> </w:t>
            </w:r>
            <w:r w:rsidRPr="0024552B">
              <w:rPr>
                <w:rFonts w:ascii="Times" w:eastAsia="Times New Roman" w:hAnsi="Times" w:cs="Times"/>
                <w:iCs/>
                <w:sz w:val="20"/>
                <w:szCs w:val="20"/>
                <w:lang w:eastAsia="en-GB"/>
              </w:rPr>
              <w:t>in che modo il richiedente informerà i clienti o potenziali clienti dei mezzi di ricorso disponibili</w:t>
            </w:r>
            <w:r>
              <w:rPr>
                <w:rFonts w:ascii="Times" w:eastAsia="Times New Roman" w:hAnsi="Times" w:cs="Times"/>
                <w:iCs/>
                <w:sz w:val="20"/>
                <w:szCs w:val="20"/>
                <w:lang w:eastAsia="en-GB"/>
              </w:rPr>
              <w:t>;</w:t>
            </w:r>
          </w:p>
        </w:tc>
        <w:tc>
          <w:tcPr>
            <w:tcW w:w="7513" w:type="dxa"/>
            <w:shd w:val="clear" w:color="auto" w:fill="FFFFFF" w:themeFill="background1"/>
          </w:tcPr>
          <w:p w14:paraId="35138AEE"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BD81999" w14:textId="77777777" w:rsidTr="00D55FE7">
        <w:trPr>
          <w:trHeight w:val="624"/>
        </w:trPr>
        <w:tc>
          <w:tcPr>
            <w:tcW w:w="2726" w:type="dxa"/>
            <w:vMerge/>
            <w:shd w:val="clear" w:color="auto" w:fill="F2F2F2" w:themeFill="background1" w:themeFillShade="F2"/>
            <w:vAlign w:val="center"/>
          </w:tcPr>
          <w:p w14:paraId="121B70B5"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7B54431E" w14:textId="77777777" w:rsidR="00D55FE7" w:rsidRDefault="00D55FE7" w:rsidP="00D55FE7">
            <w:pPr>
              <w:spacing w:after="0" w:line="240" w:lineRule="auto"/>
              <w:jc w:val="both"/>
              <w:rPr>
                <w:rFonts w:ascii="Times" w:eastAsia="Times New Roman" w:hAnsi="Times" w:cs="Times"/>
                <w:iCs/>
                <w:sz w:val="20"/>
                <w:szCs w:val="20"/>
                <w:lang w:eastAsia="en-GB"/>
              </w:rPr>
            </w:pPr>
            <w:r w:rsidRPr="000F5074">
              <w:rPr>
                <w:rFonts w:ascii="Times" w:eastAsia="Times New Roman" w:hAnsi="Times" w:cs="Times"/>
                <w:iCs/>
                <w:sz w:val="20"/>
                <w:szCs w:val="20"/>
                <w:lang w:eastAsia="en-GB"/>
              </w:rPr>
              <w:t xml:space="preserve">(h) </w:t>
            </w:r>
            <w:r>
              <w:t xml:space="preserve"> </w:t>
            </w:r>
            <w:r w:rsidRPr="00A850D7">
              <w:rPr>
                <w:rFonts w:ascii="Times" w:eastAsia="Times New Roman" w:hAnsi="Times" w:cs="Times"/>
                <w:iCs/>
                <w:sz w:val="20"/>
                <w:szCs w:val="20"/>
                <w:lang w:eastAsia="en-GB"/>
              </w:rPr>
              <w:t>le fasi procedurali fondamentali del richiedente nel decidere in merito a un reclamo e le modalità con cui il richiedente comunicherà tale decisione al cliente o potenziale cliente che ha presentato il reclamo</w:t>
            </w:r>
            <w:r>
              <w:rPr>
                <w:rFonts w:ascii="Times" w:eastAsia="Times New Roman" w:hAnsi="Times" w:cs="Times"/>
                <w:iCs/>
                <w:sz w:val="20"/>
                <w:szCs w:val="20"/>
                <w:lang w:eastAsia="en-GB"/>
              </w:rPr>
              <w:t>.</w:t>
            </w:r>
          </w:p>
          <w:p w14:paraId="41BF77FE" w14:textId="77777777" w:rsidR="00D55FE7" w:rsidRPr="000F5074" w:rsidRDefault="00D55FE7" w:rsidP="00D55FE7">
            <w:pPr>
              <w:spacing w:after="0" w:line="240" w:lineRule="auto"/>
              <w:jc w:val="both"/>
              <w:rPr>
                <w:rFonts w:ascii="Times" w:eastAsia="Times New Roman" w:hAnsi="Times" w:cs="Times"/>
                <w:iCs/>
                <w:sz w:val="20"/>
                <w:szCs w:val="20"/>
                <w:lang w:eastAsia="en-GB"/>
              </w:rPr>
            </w:pPr>
          </w:p>
        </w:tc>
        <w:tc>
          <w:tcPr>
            <w:tcW w:w="7513" w:type="dxa"/>
            <w:shd w:val="clear" w:color="auto" w:fill="FFFFFF" w:themeFill="background1"/>
          </w:tcPr>
          <w:p w14:paraId="696B1381"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0A4BC12" w14:textId="77777777" w:rsidTr="00111686">
        <w:trPr>
          <w:trHeight w:val="624"/>
        </w:trPr>
        <w:tc>
          <w:tcPr>
            <w:tcW w:w="2726" w:type="dxa"/>
            <w:shd w:val="clear" w:color="auto" w:fill="DEEAF6" w:themeFill="accent1" w:themeFillTint="33"/>
            <w:vAlign w:val="center"/>
          </w:tcPr>
          <w:p w14:paraId="273AEDD4" w14:textId="77777777" w:rsidR="00D55FE7" w:rsidRPr="006528EE" w:rsidRDefault="00D55FE7" w:rsidP="00D55FE7">
            <w:pPr>
              <w:spacing w:after="0" w:line="240" w:lineRule="auto"/>
              <w:jc w:val="both"/>
              <w:rPr>
                <w:rFonts w:ascii="Times" w:hAnsi="Times" w:cs="Times"/>
                <w:b/>
                <w:sz w:val="20"/>
                <w:szCs w:val="20"/>
              </w:rPr>
            </w:pPr>
            <w:r w:rsidRPr="000057D4">
              <w:rPr>
                <w:rFonts w:ascii="Times" w:hAnsi="Times" w:cs="Times"/>
                <w:b/>
                <w:bCs/>
                <w:sz w:val="20"/>
                <w:szCs w:val="20"/>
              </w:rPr>
              <w:t>Integrazioni</w:t>
            </w:r>
            <w:r>
              <w:rPr>
                <w:rFonts w:ascii="Times" w:hAnsi="Times" w:cs="Times"/>
                <w:b/>
                <w:bCs/>
                <w:sz w:val="20"/>
                <w:szCs w:val="20"/>
              </w:rPr>
              <w:t xml:space="preserve"> necessarie</w:t>
            </w:r>
            <w:r w:rsidRPr="000057D4">
              <w:rPr>
                <w:rFonts w:ascii="Times" w:hAnsi="Times" w:cs="Times"/>
                <w:b/>
                <w:bCs/>
                <w:sz w:val="20"/>
                <w:szCs w:val="20"/>
              </w:rPr>
              <w:t xml:space="preserve"> in caso</w:t>
            </w:r>
            <w:r>
              <w:rPr>
                <w:rFonts w:ascii="Times" w:hAnsi="Times" w:cs="Times"/>
                <w:b/>
                <w:bCs/>
                <w:sz w:val="20"/>
                <w:szCs w:val="20"/>
              </w:rPr>
              <w:t xml:space="preserve"> di istanza come PSP</w:t>
            </w:r>
          </w:p>
        </w:tc>
        <w:tc>
          <w:tcPr>
            <w:tcW w:w="4640" w:type="dxa"/>
            <w:shd w:val="clear" w:color="auto" w:fill="DEEAF6" w:themeFill="accent1" w:themeFillTint="33"/>
          </w:tcPr>
          <w:p w14:paraId="1AC2B443" w14:textId="77777777" w:rsidR="00D55FE7" w:rsidRPr="000F5074" w:rsidRDefault="00D55FE7" w:rsidP="00D55FE7">
            <w:pPr>
              <w:spacing w:after="0" w:line="240" w:lineRule="auto"/>
              <w:jc w:val="both"/>
              <w:rPr>
                <w:rFonts w:ascii="Times" w:eastAsia="Times New Roman" w:hAnsi="Times" w:cs="Times"/>
                <w:iCs/>
                <w:sz w:val="20"/>
                <w:szCs w:val="20"/>
                <w:lang w:eastAsia="en-GB"/>
              </w:rPr>
            </w:pPr>
            <w:r w:rsidRPr="00AB01F9">
              <w:rPr>
                <w:rFonts w:ascii="Times" w:eastAsia="Times New Roman" w:hAnsi="Times" w:cs="Times"/>
                <w:iCs/>
                <w:sz w:val="20"/>
                <w:szCs w:val="20"/>
                <w:lang w:eastAsia="en-GB"/>
              </w:rPr>
              <w:t>In materia di gestione dei reclami, con riferimento ai servizi qualificabili come servizi di pagamento, i CASP dovranno fare riferimento alle “</w:t>
            </w:r>
            <w:r w:rsidRPr="00AB01F9">
              <w:rPr>
                <w:rFonts w:ascii="Times" w:eastAsia="Times New Roman" w:hAnsi="Times" w:cs="Times"/>
                <w:bCs/>
                <w:iCs/>
                <w:sz w:val="20"/>
                <w:szCs w:val="20"/>
                <w:lang w:eastAsia="en-GB"/>
              </w:rPr>
              <w:t xml:space="preserve">Disposizioni in materia di Trasparenza delle operazioni e dei servizi bancari e </w:t>
            </w:r>
            <w:r w:rsidRPr="00AB01F9">
              <w:rPr>
                <w:rFonts w:ascii="Times" w:eastAsia="Times New Roman" w:hAnsi="Times" w:cs="Times"/>
                <w:bCs/>
                <w:iCs/>
                <w:sz w:val="20"/>
                <w:szCs w:val="20"/>
                <w:lang w:eastAsia="en-GB"/>
              </w:rPr>
              <w:lastRenderedPageBreak/>
              <w:t xml:space="preserve">finanziari. Correttezza delle relazioni tra intermediari e clienti” emanate dalla Banca d’Italia (Sezione XI </w:t>
            </w:r>
            <w:r w:rsidRPr="00AB01F9">
              <w:rPr>
                <w:rFonts w:ascii="Times" w:eastAsia="Times New Roman" w:hAnsi="Times" w:cs="Times"/>
                <w:iCs/>
                <w:sz w:val="20"/>
                <w:szCs w:val="20"/>
                <w:lang w:eastAsia="en-GB"/>
              </w:rPr>
              <w:t>§ 3).</w:t>
            </w:r>
          </w:p>
        </w:tc>
        <w:tc>
          <w:tcPr>
            <w:tcW w:w="7513" w:type="dxa"/>
            <w:shd w:val="clear" w:color="auto" w:fill="DEEAF6" w:themeFill="accent1" w:themeFillTint="33"/>
          </w:tcPr>
          <w:p w14:paraId="3A8A247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03FD23C8" w14:textId="77777777" w:rsidTr="00A745F9">
        <w:trPr>
          <w:trHeight w:val="482"/>
        </w:trPr>
        <w:tc>
          <w:tcPr>
            <w:tcW w:w="14879" w:type="dxa"/>
            <w:gridSpan w:val="3"/>
            <w:shd w:val="clear" w:color="auto" w:fill="2E74B5" w:themeFill="accent1" w:themeFillShade="BF"/>
            <w:vAlign w:val="center"/>
          </w:tcPr>
          <w:p w14:paraId="2ACFE125" w14:textId="77777777" w:rsidR="00D55FE7" w:rsidRPr="005061C3" w:rsidRDefault="00D55FE7" w:rsidP="00D55FE7">
            <w:pPr>
              <w:pStyle w:val="Paragrafoelenco"/>
              <w:numPr>
                <w:ilvl w:val="0"/>
                <w:numId w:val="30"/>
              </w:numPr>
              <w:spacing w:after="0" w:line="240" w:lineRule="auto"/>
              <w:jc w:val="both"/>
              <w:rPr>
                <w:rFonts w:ascii="Times" w:hAnsi="Times" w:cs="Times"/>
                <w:b/>
                <w:bCs/>
                <w:color w:val="FFFFFF" w:themeColor="background1"/>
                <w:lang w:val="it-IT"/>
              </w:rPr>
            </w:pPr>
            <w:r w:rsidRPr="009404E5">
              <w:rPr>
                <w:rFonts w:ascii="Times" w:hAnsi="Times" w:cs="Times"/>
                <w:b/>
                <w:bCs/>
                <w:color w:val="FFFFFF" w:themeColor="background1"/>
                <w:lang w:val="it-IT"/>
              </w:rPr>
              <w:t>POLITI</w:t>
            </w:r>
            <w:r>
              <w:rPr>
                <w:rFonts w:ascii="Times" w:hAnsi="Times" w:cs="Times"/>
                <w:b/>
                <w:bCs/>
                <w:color w:val="FFFFFF" w:themeColor="background1"/>
                <w:lang w:val="it-IT"/>
              </w:rPr>
              <w:t>CA</w:t>
            </w:r>
            <w:r w:rsidRPr="009404E5">
              <w:rPr>
                <w:rFonts w:ascii="Times" w:hAnsi="Times" w:cs="Times"/>
                <w:b/>
                <w:bCs/>
                <w:color w:val="FFFFFF" w:themeColor="background1"/>
                <w:lang w:val="it-IT"/>
              </w:rPr>
              <w:t xml:space="preserve"> DI CUSTODIA E AMMINISTRAZIONE </w:t>
            </w:r>
          </w:p>
        </w:tc>
      </w:tr>
      <w:tr w:rsidR="00D55FE7" w:rsidRPr="000F5074" w14:paraId="731BE537" w14:textId="77777777" w:rsidTr="00A745F9">
        <w:trPr>
          <w:trHeight w:val="340"/>
        </w:trPr>
        <w:tc>
          <w:tcPr>
            <w:tcW w:w="14879" w:type="dxa"/>
            <w:gridSpan w:val="3"/>
            <w:shd w:val="clear" w:color="auto" w:fill="8496B0" w:themeFill="text2" w:themeFillTint="99"/>
            <w:vAlign w:val="center"/>
          </w:tcPr>
          <w:p w14:paraId="2152733E" w14:textId="77777777" w:rsidR="00D55FE7" w:rsidRPr="000F5074" w:rsidRDefault="00D55FE7" w:rsidP="00D55FE7">
            <w:pPr>
              <w:spacing w:after="0" w:line="240" w:lineRule="auto"/>
              <w:jc w:val="both"/>
              <w:rPr>
                <w:rFonts w:ascii="Times" w:eastAsia="Times New Roman" w:hAnsi="Times" w:cs="Times"/>
                <w:b/>
                <w:color w:val="FFFFFF" w:themeColor="background1"/>
                <w:sz w:val="20"/>
                <w:szCs w:val="20"/>
                <w:lang w:eastAsia="en-GB"/>
              </w:rPr>
            </w:pPr>
            <w:r w:rsidRPr="000F5074">
              <w:rPr>
                <w:rFonts w:ascii="Times" w:eastAsia="Times New Roman" w:hAnsi="Times" w:cs="Times"/>
                <w:b/>
                <w:color w:val="FFFFFF" w:themeColor="background1"/>
                <w:sz w:val="20"/>
                <w:szCs w:val="20"/>
                <w:lang w:eastAsia="en-GB"/>
              </w:rPr>
              <w:t xml:space="preserve">Per il prestatore di </w:t>
            </w:r>
            <w:r>
              <w:rPr>
                <w:rFonts w:ascii="Times" w:eastAsia="Times New Roman" w:hAnsi="Times" w:cs="Times"/>
                <w:b/>
                <w:color w:val="FFFFFF" w:themeColor="background1"/>
                <w:sz w:val="20"/>
                <w:szCs w:val="20"/>
                <w:lang w:eastAsia="en-GB"/>
              </w:rPr>
              <w:t>servizi per le cripto-attività</w:t>
            </w:r>
            <w:r w:rsidRPr="000F5074">
              <w:rPr>
                <w:rFonts w:ascii="Times" w:eastAsia="Times New Roman" w:hAnsi="Times" w:cs="Times"/>
                <w:b/>
                <w:color w:val="FFFFFF" w:themeColor="background1"/>
                <w:sz w:val="20"/>
                <w:szCs w:val="20"/>
                <w:lang w:eastAsia="en-GB"/>
              </w:rPr>
              <w:t xml:space="preserve"> che intende fornire il servizio di custodia e amministrazione di cripto-attività</w:t>
            </w:r>
          </w:p>
        </w:tc>
      </w:tr>
      <w:tr w:rsidR="00D55FE7" w:rsidRPr="0080402F" w14:paraId="30CECBCA" w14:textId="77777777" w:rsidTr="00111686">
        <w:trPr>
          <w:trHeight w:val="340"/>
        </w:trPr>
        <w:tc>
          <w:tcPr>
            <w:tcW w:w="7366" w:type="dxa"/>
            <w:gridSpan w:val="2"/>
            <w:shd w:val="clear" w:color="auto" w:fill="F2F2F2" w:themeFill="background1" w:themeFillShade="F2"/>
            <w:vAlign w:val="center"/>
          </w:tcPr>
          <w:p w14:paraId="10356B11" w14:textId="77777777" w:rsidR="00D55FE7" w:rsidRPr="006528EE" w:rsidRDefault="00D55FE7" w:rsidP="00D55FE7">
            <w:pPr>
              <w:spacing w:after="0" w:line="240" w:lineRule="auto"/>
              <w:jc w:val="both"/>
              <w:rPr>
                <w:rFonts w:ascii="Times" w:hAnsi="Times" w:cs="Times"/>
                <w:bCs/>
                <w:i/>
                <w:sz w:val="20"/>
                <w:szCs w:val="20"/>
              </w:rPr>
            </w:pPr>
            <w:r w:rsidRPr="0056759F">
              <w:rPr>
                <w:rFonts w:ascii="Times" w:hAnsi="Times" w:cs="Times"/>
                <w:bCs/>
                <w:iCs/>
                <w:sz w:val="20"/>
                <w:szCs w:val="20"/>
              </w:rPr>
              <w:t xml:space="preserve">Ai </w:t>
            </w:r>
            <w:r>
              <w:rPr>
                <w:rFonts w:ascii="Times" w:hAnsi="Times" w:cs="Times"/>
                <w:bCs/>
                <w:iCs/>
                <w:sz w:val="20"/>
                <w:szCs w:val="20"/>
              </w:rPr>
              <w:t>sensi</w:t>
            </w:r>
            <w:r w:rsidRPr="0056759F">
              <w:rPr>
                <w:rFonts w:ascii="Times" w:hAnsi="Times" w:cs="Times"/>
                <w:bCs/>
                <w:iCs/>
                <w:sz w:val="20"/>
                <w:szCs w:val="20"/>
              </w:rPr>
              <w:t xml:space="preserve"> dell’articolo 62, paragrafo 2, lettera m), del regolamento (UE) 2023/1114</w:t>
            </w:r>
            <w:r>
              <w:rPr>
                <w:rFonts w:ascii="Times" w:hAnsi="Times" w:cs="Times"/>
                <w:bCs/>
                <w:iCs/>
                <w:sz w:val="20"/>
                <w:szCs w:val="20"/>
              </w:rPr>
              <w:t xml:space="preserve"> e dell’articolo 12 del regolamento delegato (UE) della Commissione 2025/305</w:t>
            </w:r>
            <w:r w:rsidRPr="0056759F">
              <w:rPr>
                <w:rFonts w:ascii="Times" w:hAnsi="Times" w:cs="Times"/>
                <w:bCs/>
                <w:iCs/>
                <w:sz w:val="20"/>
                <w:szCs w:val="20"/>
              </w:rPr>
              <w:t>, i richiedenti che intendono prestare servizi di custodia e amministrazione di cripto-attività per conto di clienti forniscono all’autorità competente tutte le informazioni seguenti:</w:t>
            </w:r>
          </w:p>
        </w:tc>
        <w:tc>
          <w:tcPr>
            <w:tcW w:w="7513" w:type="dxa"/>
            <w:shd w:val="clear" w:color="auto" w:fill="F2F2F2" w:themeFill="background1" w:themeFillShade="F2"/>
          </w:tcPr>
          <w:p w14:paraId="6C5916DB" w14:textId="77777777" w:rsidR="00D55FE7" w:rsidRPr="00E313C3" w:rsidRDefault="00D55FE7" w:rsidP="00D55FE7">
            <w:pPr>
              <w:spacing w:after="0" w:line="240" w:lineRule="auto"/>
              <w:jc w:val="both"/>
              <w:rPr>
                <w:rFonts w:ascii="Times" w:eastAsia="Times New Roman" w:hAnsi="Times" w:cs="Times"/>
                <w:bC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w:t>
            </w:r>
            <w:r>
              <w:rPr>
                <w:rFonts w:ascii="Times New Roman" w:eastAsia="Times New Roman" w:hAnsi="Times New Roman" w:cs="Times New Roman"/>
                <w:i/>
                <w:color w:val="2E74B5" w:themeColor="accent1" w:themeShade="BF"/>
                <w:sz w:val="20"/>
                <w:szCs w:val="20"/>
                <w:lang w:eastAsia="en-GB"/>
              </w:rPr>
              <w:t>’</w:t>
            </w:r>
            <w:r w:rsidRPr="00E313C3">
              <w:rPr>
                <w:rFonts w:ascii="Times New Roman" w:eastAsia="Times New Roman" w:hAnsi="Times New Roman" w:cs="Times New Roman"/>
                <w:i/>
                <w:color w:val="2E74B5" w:themeColor="accent1" w:themeShade="BF"/>
                <w:sz w:val="20"/>
                <w:szCs w:val="20"/>
                <w:lang w:eastAsia="en-GB"/>
              </w:rPr>
              <w:t>Allegato 12, suddividendole in paragrafi.</w:t>
            </w:r>
          </w:p>
        </w:tc>
      </w:tr>
      <w:tr w:rsidR="00D55FE7" w:rsidRPr="008B23C0" w14:paraId="77EF6BBE" w14:textId="77777777" w:rsidTr="00796739">
        <w:trPr>
          <w:trHeight w:val="624"/>
        </w:trPr>
        <w:tc>
          <w:tcPr>
            <w:tcW w:w="2726" w:type="dxa"/>
            <w:vMerge w:val="restart"/>
            <w:shd w:val="clear" w:color="auto" w:fill="F2F2F2" w:themeFill="background1" w:themeFillShade="F2"/>
            <w:vAlign w:val="center"/>
          </w:tcPr>
          <w:p w14:paraId="086CE485" w14:textId="77777777" w:rsidR="00D55FE7" w:rsidRPr="0000724C" w:rsidRDefault="00D55FE7" w:rsidP="00D55FE7">
            <w:pPr>
              <w:spacing w:after="0" w:line="240" w:lineRule="auto"/>
              <w:jc w:val="both"/>
              <w:rPr>
                <w:rFonts w:ascii="Times" w:hAnsi="Times" w:cs="Times"/>
                <w:b/>
                <w:bCs/>
                <w:sz w:val="20"/>
                <w:szCs w:val="20"/>
              </w:rPr>
            </w:pPr>
            <w:r>
              <w:rPr>
                <w:rFonts w:ascii="Times" w:hAnsi="Times" w:cs="Times"/>
                <w:b/>
                <w:bCs/>
                <w:sz w:val="20"/>
                <w:szCs w:val="20"/>
              </w:rPr>
              <w:t>Politiche di custodia e amministrazione</w:t>
            </w:r>
          </w:p>
        </w:tc>
        <w:tc>
          <w:tcPr>
            <w:tcW w:w="4640" w:type="dxa"/>
            <w:shd w:val="clear" w:color="auto" w:fill="F2F2F2" w:themeFill="background1" w:themeFillShade="F2"/>
          </w:tcPr>
          <w:p w14:paraId="54877784" w14:textId="77777777" w:rsidR="00D55FE7" w:rsidRPr="006528EE" w:rsidRDefault="00D55FE7" w:rsidP="00D55FE7">
            <w:pPr>
              <w:spacing w:after="0" w:line="240" w:lineRule="auto"/>
              <w:rPr>
                <w:rFonts w:ascii="Times" w:eastAsia="Times New Roman" w:hAnsi="Times" w:cs="Times"/>
                <w:sz w:val="20"/>
                <w:szCs w:val="20"/>
                <w:lang w:eastAsia="en-GB"/>
              </w:rPr>
            </w:pPr>
            <w:r w:rsidRPr="000F5074">
              <w:rPr>
                <w:rFonts w:ascii="Times" w:hAnsi="Times" w:cs="Times"/>
                <w:iCs/>
                <w:sz w:val="20"/>
                <w:szCs w:val="20"/>
              </w:rPr>
              <w:t>(a)</w:t>
            </w:r>
            <w:r>
              <w:rPr>
                <w:rFonts w:ascii="Times" w:hAnsi="Times" w:cs="Times"/>
                <w:iCs/>
                <w:sz w:val="20"/>
                <w:szCs w:val="20"/>
              </w:rPr>
              <w:t xml:space="preserve"> una</w:t>
            </w:r>
            <w:r w:rsidRPr="000F5074">
              <w:rPr>
                <w:rFonts w:ascii="Times" w:hAnsi="Times" w:cs="Times"/>
                <w:iCs/>
                <w:sz w:val="20"/>
                <w:szCs w:val="20"/>
              </w:rPr>
              <w:t xml:space="preserve"> descrizione de</w:t>
            </w:r>
            <w:r>
              <w:rPr>
                <w:rFonts w:ascii="Times" w:hAnsi="Times" w:cs="Times"/>
                <w:iCs/>
                <w:sz w:val="20"/>
                <w:szCs w:val="20"/>
              </w:rPr>
              <w:t>gli accordi</w:t>
            </w:r>
            <w:r w:rsidRPr="000F5074">
              <w:rPr>
                <w:rFonts w:ascii="Times" w:hAnsi="Times" w:cs="Times"/>
                <w:iCs/>
                <w:sz w:val="20"/>
                <w:szCs w:val="20"/>
              </w:rPr>
              <w:t xml:space="preserve"> </w:t>
            </w:r>
            <w:r>
              <w:rPr>
                <w:rFonts w:ascii="Times" w:hAnsi="Times" w:cs="Times"/>
                <w:iCs/>
                <w:sz w:val="20"/>
                <w:szCs w:val="20"/>
              </w:rPr>
              <w:t>legati al</w:t>
            </w:r>
            <w:r w:rsidRPr="000F5074">
              <w:rPr>
                <w:rFonts w:ascii="Times" w:hAnsi="Times" w:cs="Times"/>
                <w:iCs/>
                <w:sz w:val="20"/>
                <w:szCs w:val="20"/>
              </w:rPr>
              <w:t xml:space="preserve"> tipo di custodia offert</w:t>
            </w:r>
            <w:r>
              <w:rPr>
                <w:rFonts w:ascii="Times" w:hAnsi="Times" w:cs="Times"/>
                <w:iCs/>
                <w:sz w:val="20"/>
                <w:szCs w:val="20"/>
              </w:rPr>
              <w:t>o</w:t>
            </w:r>
            <w:r w:rsidRPr="000F5074">
              <w:rPr>
                <w:rFonts w:ascii="Times" w:hAnsi="Times" w:cs="Times"/>
                <w:iCs/>
                <w:sz w:val="20"/>
                <w:szCs w:val="20"/>
              </w:rPr>
              <w:t xml:space="preserve"> ai clienti</w:t>
            </w:r>
            <w:r>
              <w:rPr>
                <w:rFonts w:ascii="Times" w:hAnsi="Times" w:cs="Times"/>
                <w:iCs/>
                <w:sz w:val="20"/>
                <w:szCs w:val="20"/>
              </w:rPr>
              <w:t>,</w:t>
            </w:r>
            <w:r>
              <w:t xml:space="preserve"> </w:t>
            </w:r>
            <w:r w:rsidRPr="00A850D7">
              <w:rPr>
                <w:rFonts w:ascii="Times" w:hAnsi="Times" w:cs="Times"/>
                <w:iCs/>
                <w:sz w:val="20"/>
                <w:szCs w:val="20"/>
              </w:rPr>
              <w:t>una copia dell’accordo standard del richiedente per la custodia e l’amministrazione di cripto-attività per conto dei clienti a norma dell’articolo 75, paragrafo 1, del regolamento (UE) 2023/1114</w:t>
            </w:r>
            <w:r>
              <w:rPr>
                <w:rFonts w:ascii="Times" w:hAnsi="Times" w:cs="Times"/>
                <w:iCs/>
                <w:sz w:val="20"/>
                <w:szCs w:val="20"/>
              </w:rPr>
              <w:t>,</w:t>
            </w:r>
            <w:r>
              <w:t xml:space="preserve"> </w:t>
            </w:r>
            <w:r w:rsidRPr="00A850D7">
              <w:rPr>
                <w:rFonts w:ascii="Times" w:hAnsi="Times" w:cs="Times"/>
                <w:iCs/>
                <w:sz w:val="20"/>
                <w:szCs w:val="20"/>
              </w:rPr>
              <w:t xml:space="preserve">e </w:t>
            </w:r>
            <w:r w:rsidRPr="00F2365B">
              <w:rPr>
                <w:rFonts w:ascii="Times" w:hAnsi="Times" w:cs="Times"/>
                <w:iCs/>
                <w:sz w:val="20"/>
                <w:szCs w:val="20"/>
              </w:rPr>
              <w:t>una copia</w:t>
            </w:r>
            <w:r w:rsidRPr="00A850D7">
              <w:rPr>
                <w:rFonts w:ascii="Times" w:hAnsi="Times" w:cs="Times"/>
                <w:iCs/>
                <w:sz w:val="20"/>
                <w:szCs w:val="20"/>
              </w:rPr>
              <w:t xml:space="preserve"> della sintesi della politica di custodia messa a disposizione dei clienti conformemente all’articolo 75, paragrafo 3, del regolamento (UE) 2023/1114</w:t>
            </w:r>
            <w:r>
              <w:rPr>
                <w:rFonts w:ascii="Times" w:hAnsi="Times" w:cs="Times"/>
                <w:bCs/>
                <w:iCs/>
                <w:sz w:val="20"/>
                <w:szCs w:val="20"/>
              </w:rPr>
              <w:t>;</w:t>
            </w:r>
          </w:p>
        </w:tc>
        <w:tc>
          <w:tcPr>
            <w:tcW w:w="7513" w:type="dxa"/>
            <w:shd w:val="clear" w:color="auto" w:fill="FFFFFF" w:themeFill="background1"/>
          </w:tcPr>
          <w:p w14:paraId="6C00DB71" w14:textId="77777777" w:rsidR="00D55FE7" w:rsidRPr="00F41F42" w:rsidRDefault="00D55FE7" w:rsidP="00F41F42">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53C31F6" w14:textId="77777777" w:rsidTr="00796739">
        <w:trPr>
          <w:trHeight w:val="624"/>
        </w:trPr>
        <w:tc>
          <w:tcPr>
            <w:tcW w:w="2726" w:type="dxa"/>
            <w:vMerge/>
            <w:shd w:val="clear" w:color="auto" w:fill="F2F2F2" w:themeFill="background1" w:themeFillShade="F2"/>
          </w:tcPr>
          <w:p w14:paraId="56B84343"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5FCC547" w14:textId="77777777" w:rsidR="00D55FE7" w:rsidRPr="00B80D32"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(b) </w:t>
            </w:r>
            <w:r w:rsidRPr="00615AE2">
              <w:rPr>
                <w:rFonts w:ascii="Times" w:hAnsi="Times" w:cs="Times"/>
                <w:sz w:val="20"/>
                <w:szCs w:val="20"/>
              </w:rPr>
              <w:t>la politica di custodia e amministrazione del richiedente, compresa una descrizione delle fonti individuate di rischi operativi e relativi alle TIC per la custodia e il controllo delle cripto-attività o dei mezzi di accesso alle cripto-attività dei clienti, unitamente a una descrizione di quanto segue</w:t>
            </w:r>
            <w:r w:rsidRPr="00B80D32">
              <w:rPr>
                <w:rFonts w:ascii="Times" w:hAnsi="Times" w:cs="Times"/>
                <w:sz w:val="20"/>
                <w:szCs w:val="20"/>
              </w:rPr>
              <w:t>:</w:t>
            </w:r>
          </w:p>
          <w:p w14:paraId="7D291EF7" w14:textId="77777777" w:rsidR="00D55FE7" w:rsidRPr="00B80D32" w:rsidRDefault="00D55FE7" w:rsidP="00D55FE7">
            <w:pPr>
              <w:spacing w:after="0" w:line="240" w:lineRule="auto"/>
              <w:ind w:left="708"/>
              <w:jc w:val="both"/>
              <w:rPr>
                <w:rFonts w:ascii="Times" w:eastAsia="Times New Roman" w:hAnsi="Times" w:cs="Times"/>
                <w:bCs/>
                <w:iCs/>
                <w:sz w:val="20"/>
                <w:szCs w:val="20"/>
                <w:lang w:eastAsia="en-GB"/>
              </w:rPr>
            </w:pPr>
            <w:r w:rsidRPr="00B80D32">
              <w:rPr>
                <w:rFonts w:ascii="Times" w:hAnsi="Times" w:cs="Times"/>
                <w:sz w:val="20"/>
                <w:szCs w:val="20"/>
              </w:rPr>
              <w:t xml:space="preserve">(i) </w:t>
            </w:r>
            <w:r w:rsidRPr="002C55CE">
              <w:rPr>
                <w:rFonts w:ascii="Times" w:hAnsi="Times" w:cs="Times"/>
                <w:sz w:val="20"/>
                <w:szCs w:val="20"/>
              </w:rPr>
              <w:t>le politiche e procedure e una descrizione delle disposizioni per conformarsi all’articolo 75, paragrafo 8, del regolamento (UE) 2023/1114</w:t>
            </w:r>
            <w:r w:rsidRPr="00B80D32">
              <w:rPr>
                <w:rFonts w:ascii="Times" w:eastAsia="Times New Roman" w:hAnsi="Times" w:cs="Times"/>
                <w:bCs/>
                <w:iCs/>
                <w:sz w:val="20"/>
                <w:szCs w:val="20"/>
                <w:lang w:eastAsia="en-GB"/>
              </w:rPr>
              <w:t>;</w:t>
            </w:r>
          </w:p>
          <w:p w14:paraId="2D95D268" w14:textId="77777777" w:rsidR="00D55FE7" w:rsidRPr="000F5074" w:rsidRDefault="00D55FE7" w:rsidP="00D55FE7">
            <w:pPr>
              <w:spacing w:after="0" w:line="240" w:lineRule="auto"/>
              <w:ind w:left="708"/>
              <w:jc w:val="both"/>
              <w:rPr>
                <w:rFonts w:ascii="Times" w:hAnsi="Times" w:cs="Times"/>
                <w:sz w:val="20"/>
                <w:szCs w:val="20"/>
              </w:rPr>
            </w:pPr>
            <w:r w:rsidRPr="00B80D32">
              <w:rPr>
                <w:rFonts w:ascii="Times" w:eastAsia="Times New Roman" w:hAnsi="Times" w:cs="Times"/>
                <w:bCs/>
                <w:iCs/>
                <w:sz w:val="20"/>
                <w:szCs w:val="20"/>
                <w:lang w:eastAsia="en-GB"/>
              </w:rPr>
              <w:t xml:space="preserve">(ii) </w:t>
            </w:r>
            <w:r w:rsidRPr="002C55CE">
              <w:rPr>
                <w:rFonts w:ascii="Times" w:eastAsia="Times New Roman" w:hAnsi="Times" w:cs="Times"/>
                <w:bCs/>
                <w:iCs/>
                <w:sz w:val="20"/>
                <w:szCs w:val="20"/>
                <w:lang w:eastAsia="en-GB"/>
              </w:rPr>
              <w:t xml:space="preserve">le politiche e procedure e una descrizione dei sistemi e dei controlli per la gestione dei rischi operativi e relativi alle TIC, anche nel caso in cui la custodia e l’amministrazione di </w:t>
            </w:r>
            <w:r w:rsidRPr="002C55CE">
              <w:rPr>
                <w:rFonts w:ascii="Times" w:eastAsia="Times New Roman" w:hAnsi="Times" w:cs="Times"/>
                <w:bCs/>
                <w:iCs/>
                <w:sz w:val="20"/>
                <w:szCs w:val="20"/>
                <w:lang w:eastAsia="en-GB"/>
              </w:rPr>
              <w:lastRenderedPageBreak/>
              <w:t>cripto-attività per conto dei clienti siano esternalizzate a terzi</w:t>
            </w:r>
            <w:r w:rsidRPr="000F5074">
              <w:rPr>
                <w:rFonts w:ascii="Times" w:eastAsia="Times New Roman" w:hAnsi="Times" w:cs="Times"/>
                <w:bCs/>
                <w:iCs/>
                <w:sz w:val="20"/>
                <w:szCs w:val="20"/>
                <w:lang w:eastAsia="en-GB"/>
              </w:rPr>
              <w:t>;</w:t>
            </w:r>
          </w:p>
          <w:p w14:paraId="168E9D73" w14:textId="77777777" w:rsidR="00D55FE7" w:rsidRDefault="00D55FE7" w:rsidP="00D55FE7">
            <w:pPr>
              <w:spacing w:after="0" w:line="240" w:lineRule="auto"/>
              <w:ind w:left="708"/>
              <w:jc w:val="both"/>
              <w:rPr>
                <w:rFonts w:ascii="Times" w:hAnsi="Times" w:cs="Times"/>
                <w:sz w:val="20"/>
                <w:szCs w:val="20"/>
              </w:rPr>
            </w:pPr>
            <w:r w:rsidRPr="000F5074">
              <w:rPr>
                <w:rFonts w:ascii="Times" w:hAnsi="Times" w:cs="Times"/>
                <w:sz w:val="20"/>
                <w:szCs w:val="20"/>
              </w:rPr>
              <w:t xml:space="preserve">(iii) </w:t>
            </w:r>
            <w:r w:rsidRPr="002C55CE">
              <w:rPr>
                <w:rFonts w:ascii="Times" w:hAnsi="Times" w:cs="Times"/>
                <w:sz w:val="20"/>
                <w:szCs w:val="20"/>
              </w:rPr>
              <w:t>le politiche e procedure relative ai sistemi che garantiscono l’esercizio dei diritti connessi alle cripto-attività da parte dei clienti, e una descrizione di tali sistemi</w:t>
            </w:r>
            <w:r w:rsidRPr="000F5074">
              <w:rPr>
                <w:rFonts w:ascii="Times" w:hAnsi="Times" w:cs="Times"/>
                <w:sz w:val="20"/>
                <w:szCs w:val="20"/>
              </w:rPr>
              <w:t>;</w:t>
            </w:r>
          </w:p>
          <w:p w14:paraId="75F94644" w14:textId="4A576A1C" w:rsidR="00D55FE7" w:rsidRPr="000F5074" w:rsidRDefault="00D55FE7" w:rsidP="00D55FE7">
            <w:pPr>
              <w:spacing w:after="0" w:line="240" w:lineRule="auto"/>
              <w:ind w:left="708"/>
              <w:jc w:val="both"/>
              <w:rPr>
                <w:rFonts w:ascii="Times" w:hAnsi="Times" w:cs="Times"/>
                <w:sz w:val="20"/>
                <w:szCs w:val="20"/>
              </w:rPr>
            </w:pPr>
            <w:r w:rsidRPr="000F5074">
              <w:rPr>
                <w:rFonts w:ascii="Times" w:hAnsi="Times" w:cs="Times"/>
                <w:sz w:val="20"/>
                <w:szCs w:val="20"/>
              </w:rPr>
              <w:t xml:space="preserve">(iv) </w:t>
            </w:r>
            <w:r w:rsidRPr="002C55CE">
              <w:rPr>
                <w:rFonts w:ascii="Times" w:hAnsi="Times" w:cs="Times"/>
                <w:sz w:val="20"/>
                <w:szCs w:val="20"/>
              </w:rPr>
              <w:t>le procedure e una descrizione dei sistemi che garantiscono la restituzione ai clienti delle cripto-attività o dei mezzi di accesso</w:t>
            </w:r>
            <w:r>
              <w:rPr>
                <w:rFonts w:ascii="Times" w:hAnsi="Times" w:cs="Times"/>
                <w:sz w:val="20"/>
                <w:szCs w:val="20"/>
              </w:rPr>
              <w:t>;</w:t>
            </w:r>
          </w:p>
        </w:tc>
        <w:tc>
          <w:tcPr>
            <w:tcW w:w="7513" w:type="dxa"/>
            <w:shd w:val="clear" w:color="auto" w:fill="FFFFFF" w:themeFill="background1"/>
          </w:tcPr>
          <w:p w14:paraId="7709923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1EE535FA" w14:textId="77777777" w:rsidTr="00796739">
        <w:trPr>
          <w:trHeight w:val="624"/>
        </w:trPr>
        <w:tc>
          <w:tcPr>
            <w:tcW w:w="2726" w:type="dxa"/>
            <w:vMerge/>
            <w:shd w:val="clear" w:color="auto" w:fill="F2F2F2" w:themeFill="background1" w:themeFillShade="F2"/>
          </w:tcPr>
          <w:p w14:paraId="03CF45A1"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1AEDDFF" w14:textId="3F868F7E" w:rsidR="00D55FE7" w:rsidRPr="000F5074" w:rsidRDefault="00D55FE7" w:rsidP="00D55FE7">
            <w:pPr>
              <w:spacing w:after="0" w:line="240" w:lineRule="auto"/>
              <w:jc w:val="both"/>
              <w:rPr>
                <w:rFonts w:ascii="Times" w:hAnsi="Times" w:cs="Times"/>
                <w:sz w:val="20"/>
                <w:szCs w:val="20"/>
              </w:rPr>
            </w:pPr>
            <w:r w:rsidRPr="000F5074">
              <w:rPr>
                <w:rFonts w:ascii="Times" w:hAnsi="Times" w:cs="Times"/>
                <w:iCs/>
                <w:sz w:val="20"/>
                <w:szCs w:val="20"/>
              </w:rPr>
              <w:t>(c)</w:t>
            </w:r>
            <w:r>
              <w:rPr>
                <w:rFonts w:ascii="Times" w:hAnsi="Times" w:cs="Times"/>
                <w:iCs/>
                <w:sz w:val="20"/>
                <w:szCs w:val="20"/>
              </w:rPr>
              <w:t xml:space="preserve"> </w:t>
            </w:r>
            <w:r w:rsidRPr="002C55CE">
              <w:rPr>
                <w:rFonts w:ascii="Times" w:hAnsi="Times" w:cs="Times"/>
                <w:iCs/>
                <w:sz w:val="20"/>
                <w:szCs w:val="20"/>
              </w:rPr>
              <w:t>informazioni sulle modalità di identificazione delle cripto-attività e dei mezzi di accesso alle cripto-attività dei clienti</w:t>
            </w:r>
            <w:r>
              <w:rPr>
                <w:rFonts w:ascii="Times" w:hAnsi="Times" w:cs="Times"/>
                <w:iCs/>
                <w:sz w:val="20"/>
                <w:szCs w:val="20"/>
              </w:rPr>
              <w:t>;</w:t>
            </w:r>
          </w:p>
        </w:tc>
        <w:tc>
          <w:tcPr>
            <w:tcW w:w="7513" w:type="dxa"/>
            <w:shd w:val="clear" w:color="auto" w:fill="FFFFFF" w:themeFill="background1"/>
          </w:tcPr>
          <w:p w14:paraId="6C87556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BB2B589" w14:textId="77777777" w:rsidTr="00796739">
        <w:trPr>
          <w:trHeight w:val="624"/>
        </w:trPr>
        <w:tc>
          <w:tcPr>
            <w:tcW w:w="2726" w:type="dxa"/>
            <w:vMerge/>
            <w:shd w:val="clear" w:color="auto" w:fill="F2F2F2" w:themeFill="background1" w:themeFillShade="F2"/>
          </w:tcPr>
          <w:p w14:paraId="398D786D"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351CE7C" w14:textId="283B9A29" w:rsidR="00D55FE7" w:rsidRPr="000F5074" w:rsidRDefault="00D55FE7" w:rsidP="00D55FE7">
            <w:pPr>
              <w:spacing w:after="0" w:line="240" w:lineRule="auto"/>
              <w:jc w:val="both"/>
              <w:rPr>
                <w:rFonts w:ascii="Times" w:hAnsi="Times" w:cs="Times"/>
                <w:sz w:val="20"/>
                <w:szCs w:val="20"/>
              </w:rPr>
            </w:pPr>
            <w:r w:rsidRPr="000F5074">
              <w:rPr>
                <w:rFonts w:ascii="Times" w:hAnsi="Times" w:cs="Times"/>
                <w:iCs/>
                <w:sz w:val="20"/>
                <w:szCs w:val="20"/>
              </w:rPr>
              <w:t xml:space="preserve">(d) </w:t>
            </w:r>
            <w:r w:rsidRPr="002C55CE">
              <w:rPr>
                <w:rFonts w:ascii="Times" w:hAnsi="Times" w:cs="Times"/>
                <w:iCs/>
                <w:sz w:val="20"/>
                <w:szCs w:val="20"/>
              </w:rPr>
              <w:t>informazioni sui dispositivi per ridurre al minimo il rischio di perdita di cripto-attività o di mezzi di accesso alle cripto-attività</w:t>
            </w:r>
            <w:r>
              <w:rPr>
                <w:rFonts w:ascii="Times" w:hAnsi="Times" w:cs="Times"/>
                <w:iCs/>
                <w:sz w:val="20"/>
                <w:szCs w:val="20"/>
              </w:rPr>
              <w:t>;</w:t>
            </w:r>
          </w:p>
        </w:tc>
        <w:tc>
          <w:tcPr>
            <w:tcW w:w="7513" w:type="dxa"/>
            <w:shd w:val="clear" w:color="auto" w:fill="FFFFFF" w:themeFill="background1"/>
          </w:tcPr>
          <w:p w14:paraId="746B1933"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4C70F25" w14:textId="77777777" w:rsidTr="00796739">
        <w:trPr>
          <w:trHeight w:val="624"/>
        </w:trPr>
        <w:tc>
          <w:tcPr>
            <w:tcW w:w="2726" w:type="dxa"/>
            <w:vMerge/>
            <w:shd w:val="clear" w:color="auto" w:fill="F2F2F2" w:themeFill="background1" w:themeFillShade="F2"/>
          </w:tcPr>
          <w:p w14:paraId="1EBE9DCA"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195D204" w14:textId="77777777"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(e) </w:t>
            </w:r>
            <w:r w:rsidRPr="002C55CE">
              <w:rPr>
                <w:rFonts w:ascii="Times" w:hAnsi="Times" w:cs="Times"/>
                <w:sz w:val="20"/>
                <w:szCs w:val="20"/>
              </w:rPr>
              <w:t>se il prestatore di servizi per le cripto-attività ha delegato a terzi la prestazione di servizi di custodia e amministrazione di cripto-attività per conto di clienti</w:t>
            </w:r>
            <w:r w:rsidRPr="000F5074">
              <w:rPr>
                <w:rFonts w:ascii="Times" w:hAnsi="Times" w:cs="Times"/>
                <w:sz w:val="20"/>
                <w:szCs w:val="20"/>
              </w:rPr>
              <w:t xml:space="preserve">: </w:t>
            </w:r>
          </w:p>
          <w:p w14:paraId="3BA6A2FE" w14:textId="77777777" w:rsidR="00D55FE7" w:rsidRPr="000F5074" w:rsidRDefault="00D55FE7" w:rsidP="00D55FE7">
            <w:pPr>
              <w:spacing w:after="0" w:line="240" w:lineRule="auto"/>
              <w:jc w:val="both"/>
              <w:rPr>
                <w:rFonts w:ascii="Times" w:hAnsi="Times" w:cs="Times"/>
                <w:sz w:val="20"/>
                <w:szCs w:val="20"/>
              </w:rPr>
            </w:pPr>
          </w:p>
          <w:p w14:paraId="02C7C551" w14:textId="77777777" w:rsidR="00D55FE7" w:rsidRPr="00DC780A" w:rsidRDefault="00D55FE7" w:rsidP="00D55FE7">
            <w:pPr>
              <w:pStyle w:val="Paragrafoelenco"/>
              <w:numPr>
                <w:ilvl w:val="0"/>
                <w:numId w:val="19"/>
              </w:numPr>
              <w:spacing w:after="0" w:line="240" w:lineRule="auto"/>
              <w:contextualSpacing w:val="0"/>
              <w:jc w:val="both"/>
              <w:rPr>
                <w:rFonts w:ascii="Times" w:hAnsi="Times" w:cs="Times"/>
                <w:lang w:val="it-IT"/>
              </w:rPr>
            </w:pPr>
            <w:r w:rsidRPr="002C55CE">
              <w:rPr>
                <w:rFonts w:ascii="Times" w:hAnsi="Times" w:cs="Times"/>
                <w:lang w:val="it-IT"/>
              </w:rPr>
              <w:t>informazioni sull’identità dei terzi che prestano il servizio di custodia e amministrazione di cripto-attività e sul loro status conformemente all’articolo 59 o all’articolo 60 del regolamento (UE) 2023/1114</w:t>
            </w:r>
            <w:r>
              <w:rPr>
                <w:rFonts w:ascii="Times" w:eastAsia="Times New Roman" w:hAnsi="Times" w:cs="Times"/>
                <w:bCs/>
                <w:iCs/>
                <w:lang w:val="it-IT"/>
              </w:rPr>
              <w:t>;</w:t>
            </w:r>
          </w:p>
          <w:p w14:paraId="44E95C23" w14:textId="77777777" w:rsidR="00D55FE7" w:rsidRPr="0080402F" w:rsidRDefault="00D55FE7" w:rsidP="00D55FE7">
            <w:pPr>
              <w:pStyle w:val="Paragrafoelenco"/>
              <w:numPr>
                <w:ilvl w:val="0"/>
                <w:numId w:val="19"/>
              </w:numPr>
              <w:spacing w:after="0" w:line="240" w:lineRule="auto"/>
              <w:contextualSpacing w:val="0"/>
              <w:jc w:val="both"/>
              <w:rPr>
                <w:rFonts w:ascii="Times" w:hAnsi="Times" w:cs="Times"/>
                <w:lang w:val="it-IT"/>
              </w:rPr>
            </w:pPr>
            <w:r w:rsidRPr="002C55CE">
              <w:rPr>
                <w:rFonts w:ascii="Times" w:hAnsi="Times" w:cs="Times"/>
                <w:lang w:val="it-IT"/>
              </w:rPr>
              <w:t xml:space="preserve">una descrizione di eventuali funzioni relative alla custodia e all’amministrazione delle cripto-attività delegate dal prestatore di servizi per le cripto-attività, l’elenco degli eventuali delegati e </w:t>
            </w:r>
            <w:proofErr w:type="spellStart"/>
            <w:r w:rsidRPr="002C55CE">
              <w:rPr>
                <w:rFonts w:ascii="Times" w:hAnsi="Times" w:cs="Times"/>
                <w:lang w:val="it-IT"/>
              </w:rPr>
              <w:t>sottodelegati</w:t>
            </w:r>
            <w:proofErr w:type="spellEnd"/>
            <w:r w:rsidRPr="002C55CE">
              <w:rPr>
                <w:rFonts w:ascii="Times" w:hAnsi="Times" w:cs="Times"/>
                <w:lang w:val="it-IT"/>
              </w:rPr>
              <w:t>, a seconda dei casi, e gli eventuali conflitti di interesse che potrebbero derivare da tale delega</w:t>
            </w:r>
            <w:r w:rsidRPr="0080402F">
              <w:rPr>
                <w:rFonts w:ascii="Times" w:hAnsi="Times" w:cs="Times"/>
                <w:lang w:val="it-IT"/>
              </w:rPr>
              <w:t>;</w:t>
            </w:r>
          </w:p>
          <w:p w14:paraId="47808EE5" w14:textId="77777777" w:rsidR="00D55FE7" w:rsidRPr="00DC780A" w:rsidRDefault="00D55FE7" w:rsidP="00D55FE7">
            <w:pPr>
              <w:pStyle w:val="Paragrafoelenco"/>
              <w:numPr>
                <w:ilvl w:val="0"/>
                <w:numId w:val="19"/>
              </w:numPr>
              <w:spacing w:after="0" w:line="240" w:lineRule="auto"/>
              <w:contextualSpacing w:val="0"/>
              <w:jc w:val="both"/>
              <w:rPr>
                <w:rFonts w:ascii="Times" w:hAnsi="Times" w:cs="Times"/>
                <w:lang w:val="it-IT"/>
              </w:rPr>
            </w:pPr>
            <w:r w:rsidRPr="002C55CE">
              <w:rPr>
                <w:rFonts w:ascii="Times" w:hAnsi="Times" w:cs="Times"/>
                <w:lang w:val="it-IT"/>
              </w:rPr>
              <w:lastRenderedPageBreak/>
              <w:t xml:space="preserve">una descrizione del modo in cui il richiedente intende vigilare sulle deleghe o </w:t>
            </w:r>
            <w:proofErr w:type="spellStart"/>
            <w:r w:rsidRPr="002C55CE">
              <w:rPr>
                <w:rFonts w:ascii="Times" w:hAnsi="Times" w:cs="Times"/>
                <w:lang w:val="it-IT"/>
              </w:rPr>
              <w:t>sottodeleghe</w:t>
            </w:r>
            <w:proofErr w:type="spellEnd"/>
            <w:r>
              <w:rPr>
                <w:rFonts w:ascii="Times" w:hAnsi="Times" w:cs="Times"/>
                <w:lang w:val="it-IT"/>
              </w:rPr>
              <w:t>.</w:t>
            </w:r>
          </w:p>
          <w:p w14:paraId="29F6D26A"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p>
          <w:p w14:paraId="11B80F33" w14:textId="77777777" w:rsidR="00D55FE7" w:rsidRPr="000F5074" w:rsidRDefault="00D55FE7" w:rsidP="00D55FE7">
            <w:pPr>
              <w:spacing w:after="0" w:line="240" w:lineRule="auto"/>
              <w:jc w:val="both"/>
              <w:rPr>
                <w:rFonts w:ascii="Times" w:hAnsi="Times" w:cs="Times"/>
                <w:sz w:val="20"/>
                <w:szCs w:val="20"/>
              </w:rPr>
            </w:pPr>
          </w:p>
        </w:tc>
        <w:tc>
          <w:tcPr>
            <w:tcW w:w="7513" w:type="dxa"/>
            <w:shd w:val="clear" w:color="auto" w:fill="FFFFFF" w:themeFill="background1"/>
          </w:tcPr>
          <w:p w14:paraId="5D2BCF92"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56201475" w14:textId="77777777" w:rsidTr="00A745F9">
        <w:trPr>
          <w:trHeight w:val="482"/>
        </w:trPr>
        <w:tc>
          <w:tcPr>
            <w:tcW w:w="14879" w:type="dxa"/>
            <w:gridSpan w:val="3"/>
            <w:shd w:val="clear" w:color="auto" w:fill="2E74B5" w:themeFill="accent1" w:themeFillShade="BF"/>
            <w:vAlign w:val="center"/>
          </w:tcPr>
          <w:p w14:paraId="57EDBAB2" w14:textId="77777777" w:rsidR="00D55FE7" w:rsidRPr="005061C3" w:rsidRDefault="00D55FE7" w:rsidP="00D55FE7">
            <w:pPr>
              <w:pStyle w:val="Paragrafoelenco"/>
              <w:numPr>
                <w:ilvl w:val="0"/>
                <w:numId w:val="30"/>
              </w:numPr>
              <w:spacing w:after="0" w:line="240" w:lineRule="auto"/>
              <w:jc w:val="both"/>
              <w:rPr>
                <w:rFonts w:ascii="Times" w:eastAsia="Times New Roman" w:hAnsi="Times" w:cs="Times"/>
                <w:b/>
                <w:bCs/>
                <w:color w:val="FFFFFF" w:themeColor="background1"/>
                <w:lang w:val="it-IT"/>
              </w:rPr>
            </w:pPr>
            <w:r w:rsidRPr="005B63A1">
              <w:rPr>
                <w:rFonts w:ascii="Times" w:eastAsia="Times New Roman" w:hAnsi="Times" w:cs="Times"/>
                <w:b/>
                <w:bCs/>
                <w:color w:val="FFFFFF" w:themeColor="background1"/>
                <w:lang w:val="it-IT"/>
              </w:rPr>
              <w:t>NORME OPERATIVE DELLA PIATTAFORMA DI NEGOZIAZIONE E INDIVIDUAZIONE DEGLI ABUSI DI MERCATO</w:t>
            </w:r>
          </w:p>
        </w:tc>
      </w:tr>
      <w:tr w:rsidR="00D55FE7" w:rsidRPr="000F5074" w14:paraId="3183B110" w14:textId="77777777" w:rsidTr="00A745F9">
        <w:trPr>
          <w:trHeight w:val="340"/>
        </w:trPr>
        <w:tc>
          <w:tcPr>
            <w:tcW w:w="14879" w:type="dxa"/>
            <w:gridSpan w:val="3"/>
            <w:shd w:val="clear" w:color="auto" w:fill="8496B0" w:themeFill="text2" w:themeFillTint="99"/>
            <w:vAlign w:val="center"/>
          </w:tcPr>
          <w:p w14:paraId="27BDA585" w14:textId="77777777" w:rsidR="00D55FE7" w:rsidRPr="000F5074" w:rsidRDefault="00D55FE7" w:rsidP="00D55FE7">
            <w:pPr>
              <w:spacing w:after="0" w:line="240" w:lineRule="auto"/>
              <w:jc w:val="both"/>
              <w:rPr>
                <w:rFonts w:ascii="Times" w:eastAsia="Times New Roman" w:hAnsi="Times" w:cs="Times"/>
                <w:b/>
                <w:bCs/>
                <w:color w:val="FFFFFF" w:themeColor="background1"/>
                <w:sz w:val="20"/>
                <w:szCs w:val="20"/>
                <w:lang w:eastAsia="en-GB"/>
              </w:rPr>
            </w:pPr>
            <w:r w:rsidRPr="000F5074">
              <w:rPr>
                <w:rFonts w:ascii="Times" w:eastAsia="Times New Roman" w:hAnsi="Times" w:cs="Times"/>
                <w:b/>
                <w:bCs/>
                <w:color w:val="FFFFFF" w:themeColor="background1"/>
                <w:sz w:val="20"/>
                <w:szCs w:val="20"/>
                <w:lang w:eastAsia="en-GB"/>
              </w:rPr>
              <w:t xml:space="preserve">Per il prestatore di servizi che intende offrire il servizio gestione di una piattaforma di negoziazione </w:t>
            </w:r>
          </w:p>
        </w:tc>
      </w:tr>
      <w:tr w:rsidR="00D55FE7" w:rsidRPr="008B23C0" w14:paraId="4E2D437B" w14:textId="77777777" w:rsidTr="00111686">
        <w:trPr>
          <w:trHeight w:val="624"/>
        </w:trPr>
        <w:tc>
          <w:tcPr>
            <w:tcW w:w="7366" w:type="dxa"/>
            <w:gridSpan w:val="2"/>
            <w:shd w:val="clear" w:color="auto" w:fill="F2F2F2" w:themeFill="background1" w:themeFillShade="F2"/>
            <w:vAlign w:val="center"/>
          </w:tcPr>
          <w:p w14:paraId="242C932C" w14:textId="77777777" w:rsidR="00D55FE7" w:rsidRPr="00670157" w:rsidRDefault="00D55FE7" w:rsidP="00D55FE7">
            <w:pPr>
              <w:spacing w:after="0" w:line="240" w:lineRule="auto"/>
              <w:jc w:val="both"/>
              <w:rPr>
                <w:rFonts w:ascii="Times" w:eastAsia="Times New Roman" w:hAnsi="Times" w:cs="Times"/>
                <w:i/>
                <w:iCs/>
                <w:sz w:val="20"/>
                <w:szCs w:val="20"/>
                <w:lang w:eastAsia="en-GB"/>
              </w:rPr>
            </w:pPr>
            <w:r w:rsidRPr="005B63A1">
              <w:rPr>
                <w:rFonts w:ascii="Times" w:hAnsi="Times" w:cs="Times"/>
                <w:bCs/>
                <w:iCs/>
                <w:sz w:val="20"/>
                <w:szCs w:val="20"/>
              </w:rPr>
              <w:t xml:space="preserve">Ai </w:t>
            </w:r>
            <w:r>
              <w:rPr>
                <w:rFonts w:ascii="Times" w:hAnsi="Times" w:cs="Times"/>
                <w:bCs/>
                <w:iCs/>
                <w:sz w:val="20"/>
                <w:szCs w:val="20"/>
              </w:rPr>
              <w:t>sensi</w:t>
            </w:r>
            <w:r w:rsidRPr="005B63A1">
              <w:rPr>
                <w:rFonts w:ascii="Times" w:hAnsi="Times" w:cs="Times"/>
                <w:bCs/>
                <w:iCs/>
                <w:sz w:val="20"/>
                <w:szCs w:val="20"/>
              </w:rPr>
              <w:t xml:space="preserve"> dell’articolo 62, paragrafo 2, lettera n), del regolamento (UE) 2023/1114</w:t>
            </w:r>
            <w:r>
              <w:rPr>
                <w:rFonts w:ascii="Times" w:hAnsi="Times" w:cs="Times"/>
                <w:bCs/>
                <w:iCs/>
                <w:sz w:val="20"/>
                <w:szCs w:val="20"/>
              </w:rPr>
              <w:t xml:space="preserve"> e dell’articolo 13 del regolamento delegato (UE) della Commissione 2025/305</w:t>
            </w:r>
            <w:r w:rsidRPr="005B63A1">
              <w:rPr>
                <w:rFonts w:ascii="Times" w:hAnsi="Times" w:cs="Times"/>
                <w:bCs/>
                <w:iCs/>
                <w:sz w:val="20"/>
                <w:szCs w:val="20"/>
              </w:rPr>
              <w:t>, i richiedenti che intendono gestire una piattaforma di negoziazione di cripto-attività forniscono all’autorità competente tutte le informazioni seguenti</w:t>
            </w:r>
            <w:r>
              <w:rPr>
                <w:rFonts w:ascii="Times" w:hAnsi="Times" w:cs="Times"/>
                <w:bCs/>
                <w:iCs/>
                <w:sz w:val="20"/>
                <w:szCs w:val="20"/>
              </w:rPr>
              <w:t>:</w:t>
            </w:r>
          </w:p>
        </w:tc>
        <w:tc>
          <w:tcPr>
            <w:tcW w:w="7513" w:type="dxa"/>
            <w:shd w:val="clear" w:color="auto" w:fill="F2F2F2" w:themeFill="background1" w:themeFillShade="F2"/>
          </w:tcPr>
          <w:p w14:paraId="5D16C916" w14:textId="77777777" w:rsidR="00D55FE7" w:rsidRPr="005B63A1" w:rsidRDefault="00D55FE7" w:rsidP="00D55FE7">
            <w:pPr>
              <w:spacing w:after="0" w:line="240" w:lineRule="auto"/>
              <w:jc w:val="both"/>
              <w:rPr>
                <w:rFonts w:ascii="Times" w:eastAsia="Times New Roman" w:hAnsi="Times" w:cs="Times"/>
                <w:i/>
                <w:iC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13, suddividendole in paragrafi.</w:t>
            </w:r>
          </w:p>
        </w:tc>
      </w:tr>
      <w:tr w:rsidR="00D55FE7" w:rsidRPr="008B23C0" w14:paraId="6144C1FD" w14:textId="77777777" w:rsidTr="00796739">
        <w:trPr>
          <w:trHeight w:val="624"/>
        </w:trPr>
        <w:tc>
          <w:tcPr>
            <w:tcW w:w="2726" w:type="dxa"/>
            <w:vMerge w:val="restart"/>
            <w:shd w:val="clear" w:color="auto" w:fill="F2F2F2" w:themeFill="background1" w:themeFillShade="F2"/>
            <w:vAlign w:val="center"/>
          </w:tcPr>
          <w:p w14:paraId="3982B481" w14:textId="77777777" w:rsidR="00D55FE7" w:rsidRPr="00670157" w:rsidRDefault="00D55FE7" w:rsidP="00D55FE7">
            <w:pPr>
              <w:spacing w:after="0" w:line="240" w:lineRule="auto"/>
              <w:jc w:val="both"/>
              <w:rPr>
                <w:rFonts w:ascii="Times" w:hAnsi="Times" w:cs="Times"/>
                <w:b/>
                <w:bCs/>
                <w:sz w:val="20"/>
                <w:szCs w:val="20"/>
              </w:rPr>
            </w:pPr>
            <w:r>
              <w:rPr>
                <w:rFonts w:ascii="Times" w:hAnsi="Times" w:cs="Times"/>
                <w:b/>
                <w:bCs/>
                <w:sz w:val="20"/>
                <w:szCs w:val="20"/>
              </w:rPr>
              <w:t>1. Informazioni sulla piattaforma di negoziazione</w:t>
            </w:r>
          </w:p>
        </w:tc>
        <w:tc>
          <w:tcPr>
            <w:tcW w:w="4640" w:type="dxa"/>
            <w:shd w:val="clear" w:color="auto" w:fill="F2F2F2" w:themeFill="background1" w:themeFillShade="F2"/>
          </w:tcPr>
          <w:p w14:paraId="66538523" w14:textId="77777777" w:rsidR="00D55FE7" w:rsidRPr="00670157"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(a) </w:t>
            </w:r>
            <w:r w:rsidRPr="008B4016">
              <w:rPr>
                <w:rFonts w:ascii="Times" w:hAnsi="Times" w:cs="Times"/>
                <w:sz w:val="20"/>
                <w:szCs w:val="20"/>
              </w:rPr>
              <w:t>le regole relative all’ammissione delle cripto-attività alla negoziazione</w:t>
            </w:r>
            <w:r>
              <w:rPr>
                <w:rFonts w:ascii="Times" w:hAnsi="Times" w:cs="Times"/>
                <w:sz w:val="20"/>
                <w:szCs w:val="20"/>
              </w:rPr>
              <w:t>;</w:t>
            </w:r>
          </w:p>
        </w:tc>
        <w:tc>
          <w:tcPr>
            <w:tcW w:w="7513" w:type="dxa"/>
            <w:shd w:val="clear" w:color="auto" w:fill="FFFFFF" w:themeFill="background1"/>
          </w:tcPr>
          <w:p w14:paraId="2D278C79"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3306BFDE" w14:textId="77777777" w:rsidTr="00796739">
        <w:trPr>
          <w:trHeight w:val="624"/>
        </w:trPr>
        <w:tc>
          <w:tcPr>
            <w:tcW w:w="2726" w:type="dxa"/>
            <w:vMerge/>
            <w:shd w:val="clear" w:color="auto" w:fill="F2F2F2" w:themeFill="background1" w:themeFillShade="F2"/>
            <w:vAlign w:val="center"/>
          </w:tcPr>
          <w:p w14:paraId="25D3046B" w14:textId="77777777" w:rsidR="00D55FE7" w:rsidRPr="00670157"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B5D39DD" w14:textId="77777777" w:rsidR="00D55FE7" w:rsidRPr="00670157"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(b) </w:t>
            </w:r>
            <w:r w:rsidRPr="008B4016">
              <w:rPr>
                <w:rFonts w:ascii="Times" w:hAnsi="Times" w:cs="Times"/>
                <w:sz w:val="20"/>
                <w:szCs w:val="20"/>
              </w:rPr>
              <w:t>la procedura di approvazione per l’ammissione delle cripto-attività alla negoziazione, compresa l’adeguata verifica della clientela effettuata conformemente alla direttiva (UE) 2015/849</w:t>
            </w:r>
            <w:r w:rsidRPr="000F5074">
              <w:rPr>
                <w:rFonts w:ascii="Times" w:hAnsi="Times" w:cs="Times"/>
                <w:sz w:val="20"/>
                <w:szCs w:val="20"/>
              </w:rPr>
              <w:t>;</w:t>
            </w:r>
          </w:p>
        </w:tc>
        <w:tc>
          <w:tcPr>
            <w:tcW w:w="7513" w:type="dxa"/>
            <w:shd w:val="clear" w:color="auto" w:fill="FFFFFF" w:themeFill="background1"/>
          </w:tcPr>
          <w:p w14:paraId="3281A795"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38BD648E" w14:textId="77777777" w:rsidTr="00796739">
        <w:trPr>
          <w:trHeight w:val="624"/>
        </w:trPr>
        <w:tc>
          <w:tcPr>
            <w:tcW w:w="2726" w:type="dxa"/>
            <w:vMerge/>
            <w:shd w:val="clear" w:color="auto" w:fill="F2F2F2" w:themeFill="background1" w:themeFillShade="F2"/>
            <w:vAlign w:val="center"/>
          </w:tcPr>
          <w:p w14:paraId="24FB7F17" w14:textId="77777777" w:rsidR="00D55FE7" w:rsidRPr="00670157"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F476E38"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(c) </w:t>
            </w:r>
            <w:r w:rsidRPr="008B4016">
              <w:rPr>
                <w:rFonts w:ascii="Times" w:hAnsi="Times" w:cs="Times"/>
                <w:sz w:val="20"/>
                <w:szCs w:val="20"/>
              </w:rPr>
              <w:t>l’elenco delle categorie di cripto-attività che non saranno ammesse alla negoziazione e i motivi di tale esclusione</w:t>
            </w:r>
            <w:r w:rsidRPr="000F5074">
              <w:rPr>
                <w:rFonts w:ascii="Times" w:hAnsi="Times" w:cs="Times"/>
                <w:sz w:val="20"/>
                <w:szCs w:val="20"/>
              </w:rPr>
              <w:t xml:space="preserve">; </w:t>
            </w:r>
          </w:p>
        </w:tc>
        <w:tc>
          <w:tcPr>
            <w:tcW w:w="7513" w:type="dxa"/>
            <w:shd w:val="clear" w:color="auto" w:fill="FFFFFF" w:themeFill="background1"/>
          </w:tcPr>
          <w:p w14:paraId="525C4484"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111C21F" w14:textId="77777777" w:rsidTr="00796739">
        <w:trPr>
          <w:trHeight w:val="624"/>
        </w:trPr>
        <w:tc>
          <w:tcPr>
            <w:tcW w:w="2726" w:type="dxa"/>
            <w:vMerge/>
            <w:shd w:val="clear" w:color="auto" w:fill="F2F2F2" w:themeFill="background1" w:themeFillShade="F2"/>
            <w:vAlign w:val="center"/>
          </w:tcPr>
          <w:p w14:paraId="54C764F1"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07844BA"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(d) </w:t>
            </w:r>
            <w:r w:rsidRPr="008B4016">
              <w:rPr>
                <w:rFonts w:ascii="Times" w:hAnsi="Times" w:cs="Times"/>
                <w:iCs/>
                <w:sz w:val="20"/>
                <w:szCs w:val="20"/>
              </w:rPr>
              <w:t xml:space="preserve">le politiche, le procedure e le commissioni per l’ammissione alla negoziazione, unitamente a una descrizione, se del caso, dell’adesione, </w:t>
            </w:r>
            <w:r w:rsidRPr="00F2365B">
              <w:rPr>
                <w:rFonts w:ascii="Times" w:hAnsi="Times" w:cs="Times"/>
                <w:iCs/>
                <w:sz w:val="20"/>
                <w:szCs w:val="20"/>
              </w:rPr>
              <w:t>degli sconti e</w:t>
            </w:r>
            <w:r w:rsidRPr="008B4016">
              <w:rPr>
                <w:rFonts w:ascii="Times" w:hAnsi="Times" w:cs="Times"/>
                <w:iCs/>
                <w:sz w:val="20"/>
                <w:szCs w:val="20"/>
              </w:rPr>
              <w:t xml:space="preserve"> delle relative condizioni</w:t>
            </w:r>
            <w:r w:rsidRPr="008A2EB7">
              <w:rPr>
                <w:rFonts w:ascii="Times" w:hAnsi="Times" w:cs="Times"/>
                <w:iCs/>
                <w:sz w:val="20"/>
                <w:szCs w:val="20"/>
              </w:rPr>
              <w:t>;</w:t>
            </w:r>
          </w:p>
        </w:tc>
        <w:tc>
          <w:tcPr>
            <w:tcW w:w="7513" w:type="dxa"/>
            <w:shd w:val="clear" w:color="auto" w:fill="FFFFFF" w:themeFill="background1"/>
          </w:tcPr>
          <w:p w14:paraId="20F13883"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6F62ED5" w14:textId="77777777" w:rsidTr="00796739">
        <w:trPr>
          <w:trHeight w:val="624"/>
        </w:trPr>
        <w:tc>
          <w:tcPr>
            <w:tcW w:w="2726" w:type="dxa"/>
            <w:vMerge/>
            <w:shd w:val="clear" w:color="auto" w:fill="F2F2F2" w:themeFill="background1" w:themeFillShade="F2"/>
            <w:vAlign w:val="center"/>
          </w:tcPr>
          <w:p w14:paraId="0150FE03"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B2D73B0"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(e) </w:t>
            </w:r>
            <w:r w:rsidRPr="008B4016">
              <w:rPr>
                <w:rFonts w:ascii="Times" w:hAnsi="Times" w:cs="Times"/>
                <w:sz w:val="20"/>
                <w:szCs w:val="20"/>
              </w:rPr>
              <w:t>le norme che disciplinano l’esecuzione degli ordini, comprese eventuali procedure di cancellazione degli ordini eseguiti e per la comunicazione di tali informazioni ai partecipanti al mercato</w:t>
            </w:r>
            <w:r>
              <w:rPr>
                <w:rFonts w:ascii="Times" w:hAnsi="Times" w:cs="Times"/>
                <w:sz w:val="20"/>
                <w:szCs w:val="20"/>
              </w:rPr>
              <w:t>;</w:t>
            </w:r>
          </w:p>
        </w:tc>
        <w:tc>
          <w:tcPr>
            <w:tcW w:w="7513" w:type="dxa"/>
            <w:shd w:val="clear" w:color="auto" w:fill="FFFFFF" w:themeFill="background1"/>
          </w:tcPr>
          <w:p w14:paraId="39BBDC1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FD88FE6" w14:textId="77777777" w:rsidTr="00796739">
        <w:trPr>
          <w:trHeight w:val="624"/>
        </w:trPr>
        <w:tc>
          <w:tcPr>
            <w:tcW w:w="2726" w:type="dxa"/>
            <w:vMerge/>
            <w:shd w:val="clear" w:color="auto" w:fill="F2F2F2" w:themeFill="background1" w:themeFillShade="F2"/>
            <w:vAlign w:val="center"/>
          </w:tcPr>
          <w:p w14:paraId="5D6FA1CE"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E9F4291"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(f) </w:t>
            </w:r>
            <w:r w:rsidRPr="008B4016">
              <w:rPr>
                <w:rFonts w:ascii="Times" w:hAnsi="Times" w:cs="Times"/>
                <w:sz w:val="20"/>
                <w:szCs w:val="20"/>
              </w:rPr>
              <w:t>le politiche, le procedure e i metodi messi in atto per valutare l’adeguatezza delle cripto-attività conformemente all’articolo 76, paragrafo 2, del regolamento (UE) 2023/1114</w:t>
            </w:r>
            <w:r w:rsidRPr="00B80D32">
              <w:rPr>
                <w:rFonts w:ascii="Times" w:eastAsia="Times New Roman" w:hAnsi="Times" w:cs="Times"/>
                <w:bCs/>
                <w:iCs/>
                <w:sz w:val="20"/>
                <w:szCs w:val="20"/>
                <w:lang w:eastAsia="en-GB"/>
              </w:rPr>
              <w:t>;</w:t>
            </w:r>
          </w:p>
        </w:tc>
        <w:tc>
          <w:tcPr>
            <w:tcW w:w="7513" w:type="dxa"/>
            <w:shd w:val="clear" w:color="auto" w:fill="FFFFFF" w:themeFill="background1"/>
          </w:tcPr>
          <w:p w14:paraId="5EC96946"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5CDF0B4" w14:textId="77777777" w:rsidTr="00796739">
        <w:trPr>
          <w:trHeight w:val="624"/>
        </w:trPr>
        <w:tc>
          <w:tcPr>
            <w:tcW w:w="2726" w:type="dxa"/>
            <w:vMerge/>
            <w:shd w:val="clear" w:color="auto" w:fill="F2F2F2" w:themeFill="background1" w:themeFillShade="F2"/>
            <w:vAlign w:val="center"/>
          </w:tcPr>
          <w:p w14:paraId="621552DA"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7186F67"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(g) </w:t>
            </w:r>
            <w:r w:rsidRPr="008B4016">
              <w:rPr>
                <w:rFonts w:ascii="Times" w:hAnsi="Times" w:cs="Times"/>
                <w:sz w:val="20"/>
                <w:szCs w:val="20"/>
              </w:rPr>
              <w:t>i sistemi, le procedure e i dispositivi attuati per conformarsi all’articolo 76, paragrafo 7, del regolamento (UE) 2023/1114</w:t>
            </w:r>
            <w:r w:rsidRPr="00B80D32">
              <w:rPr>
                <w:rFonts w:ascii="Times" w:eastAsia="Times New Roman" w:hAnsi="Times" w:cs="Times"/>
                <w:bCs/>
                <w:iCs/>
                <w:sz w:val="20"/>
                <w:szCs w:val="20"/>
                <w:lang w:eastAsia="en-GB"/>
              </w:rPr>
              <w:t>;</w:t>
            </w:r>
          </w:p>
        </w:tc>
        <w:tc>
          <w:tcPr>
            <w:tcW w:w="7513" w:type="dxa"/>
            <w:shd w:val="clear" w:color="auto" w:fill="FFFFFF" w:themeFill="background1"/>
          </w:tcPr>
          <w:p w14:paraId="2F76A613"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C1E32B8" w14:textId="77777777" w:rsidTr="00796739">
        <w:trPr>
          <w:trHeight w:val="624"/>
        </w:trPr>
        <w:tc>
          <w:tcPr>
            <w:tcW w:w="2726" w:type="dxa"/>
            <w:vMerge/>
            <w:shd w:val="clear" w:color="auto" w:fill="F2F2F2" w:themeFill="background1" w:themeFillShade="F2"/>
            <w:vAlign w:val="center"/>
          </w:tcPr>
          <w:p w14:paraId="7898265E"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004E375"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(h) </w:t>
            </w:r>
            <w:r w:rsidRPr="008B4016">
              <w:rPr>
                <w:rFonts w:ascii="Times" w:hAnsi="Times" w:cs="Times"/>
                <w:sz w:val="20"/>
                <w:szCs w:val="20"/>
              </w:rPr>
              <w:t>le modalità con cui rendere pubblici tutti i prezzi di domanda e offerta, lo spessore degli interessi di negoziazione ai prezzi pubblicizzati per le cripto-attività attraverso le loro piattaforme di negoziazione e il prezzo, il volume e l’ora delle operazioni eseguite in relazione alle cripto-attività negoziate sulle loro piattaforme di negoziazione, conformemente all’articolo 76, paragrafi 9 e 10, del regolamento (UE) 2023/1114</w:t>
            </w:r>
            <w:r w:rsidRPr="00B80D32">
              <w:rPr>
                <w:rFonts w:ascii="Times" w:hAnsi="Times" w:cs="Times"/>
                <w:sz w:val="20"/>
                <w:szCs w:val="20"/>
              </w:rPr>
              <w:t xml:space="preserve">; </w:t>
            </w:r>
          </w:p>
        </w:tc>
        <w:tc>
          <w:tcPr>
            <w:tcW w:w="7513" w:type="dxa"/>
            <w:shd w:val="clear" w:color="auto" w:fill="FFFFFF" w:themeFill="background1"/>
          </w:tcPr>
          <w:p w14:paraId="5696A3FE"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2B87F88" w14:textId="77777777" w:rsidTr="00796739">
        <w:trPr>
          <w:trHeight w:val="624"/>
        </w:trPr>
        <w:tc>
          <w:tcPr>
            <w:tcW w:w="2726" w:type="dxa"/>
            <w:vMerge/>
            <w:shd w:val="clear" w:color="auto" w:fill="F2F2F2" w:themeFill="background1" w:themeFillShade="F2"/>
            <w:vAlign w:val="center"/>
          </w:tcPr>
          <w:p w14:paraId="5D8CB6AD"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A48F22C"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(i) </w:t>
            </w:r>
            <w:r w:rsidRPr="00864412">
              <w:rPr>
                <w:rFonts w:ascii="Times" w:hAnsi="Times" w:cs="Times"/>
                <w:sz w:val="20"/>
                <w:szCs w:val="20"/>
              </w:rPr>
              <w:t>le strutture tariffarie e una giustificazione del modo in cui tali strutture sono conformi all’articolo 76, paragrafo 13, del regolamento (UE) 2023/1114</w:t>
            </w:r>
            <w:r w:rsidRPr="00B80D32">
              <w:rPr>
                <w:rFonts w:ascii="Times" w:eastAsia="Times New Roman" w:hAnsi="Times" w:cs="Times"/>
                <w:bCs/>
                <w:iCs/>
                <w:sz w:val="20"/>
                <w:szCs w:val="20"/>
                <w:lang w:eastAsia="en-GB"/>
              </w:rPr>
              <w:t>;</w:t>
            </w:r>
          </w:p>
        </w:tc>
        <w:tc>
          <w:tcPr>
            <w:tcW w:w="7513" w:type="dxa"/>
            <w:shd w:val="clear" w:color="auto" w:fill="FFFFFF" w:themeFill="background1"/>
          </w:tcPr>
          <w:p w14:paraId="5B7F6E54"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E0927F8" w14:textId="77777777" w:rsidTr="00796739">
        <w:trPr>
          <w:trHeight w:val="624"/>
        </w:trPr>
        <w:tc>
          <w:tcPr>
            <w:tcW w:w="2726" w:type="dxa"/>
            <w:vMerge/>
            <w:shd w:val="clear" w:color="auto" w:fill="F2F2F2" w:themeFill="background1" w:themeFillShade="F2"/>
            <w:vAlign w:val="center"/>
          </w:tcPr>
          <w:p w14:paraId="3B015747"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D7E1496"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(j) </w:t>
            </w:r>
            <w:r w:rsidRPr="00864412">
              <w:rPr>
                <w:rFonts w:ascii="Times" w:hAnsi="Times" w:cs="Times"/>
                <w:sz w:val="20"/>
                <w:szCs w:val="20"/>
              </w:rPr>
              <w:t>i sistemi, le procedure e i dispositivi attuati per tenere a disposizione dell’autorità competente i dati relativi a tutti gli ordini o il meccanismo per garantire che l’autorità competente abbia accesso al book di negoziazione e a qualsiasi altro sistema di negoziazione</w:t>
            </w:r>
            <w:r w:rsidRPr="00B80D32">
              <w:rPr>
                <w:rFonts w:ascii="Times" w:hAnsi="Times" w:cs="Times"/>
                <w:sz w:val="20"/>
                <w:szCs w:val="20"/>
              </w:rPr>
              <w:t xml:space="preserve">; </w:t>
            </w:r>
          </w:p>
        </w:tc>
        <w:tc>
          <w:tcPr>
            <w:tcW w:w="7513" w:type="dxa"/>
            <w:shd w:val="clear" w:color="auto" w:fill="FFFFFF" w:themeFill="background1"/>
          </w:tcPr>
          <w:p w14:paraId="28E89782"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3A18D06" w14:textId="77777777" w:rsidTr="00796739">
        <w:trPr>
          <w:trHeight w:val="624"/>
        </w:trPr>
        <w:tc>
          <w:tcPr>
            <w:tcW w:w="2726" w:type="dxa"/>
            <w:vMerge/>
            <w:shd w:val="clear" w:color="auto" w:fill="F2F2F2" w:themeFill="background1" w:themeFillShade="F2"/>
            <w:vAlign w:val="center"/>
          </w:tcPr>
          <w:p w14:paraId="404F5BD1"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F822B2E" w14:textId="77777777" w:rsidR="00D55FE7" w:rsidRPr="00B80D32" w:rsidRDefault="00D55FE7" w:rsidP="00D55FE7">
            <w:pPr>
              <w:spacing w:after="0" w:line="240" w:lineRule="auto"/>
              <w:jc w:val="both"/>
              <w:rPr>
                <w:rFonts w:ascii="Times" w:hAnsi="Times" w:cs="Times"/>
                <w:sz w:val="20"/>
                <w:szCs w:val="20"/>
              </w:rPr>
            </w:pPr>
            <w:r w:rsidRPr="00B80D32">
              <w:rPr>
                <w:rFonts w:ascii="Times" w:hAnsi="Times" w:cs="Times"/>
                <w:sz w:val="20"/>
                <w:szCs w:val="20"/>
              </w:rPr>
              <w:t xml:space="preserve">(k) </w:t>
            </w:r>
            <w:r w:rsidRPr="00864412">
              <w:rPr>
                <w:rFonts w:ascii="Times" w:hAnsi="Times" w:cs="Times"/>
                <w:sz w:val="20"/>
                <w:szCs w:val="20"/>
              </w:rPr>
              <w:t>per quanto riguarda il regolamento delle operazioni</w:t>
            </w:r>
            <w:r w:rsidRPr="00B80D32">
              <w:rPr>
                <w:rFonts w:ascii="Times" w:hAnsi="Times" w:cs="Times"/>
                <w:sz w:val="20"/>
                <w:szCs w:val="20"/>
              </w:rPr>
              <w:t xml:space="preserve">: </w:t>
            </w:r>
          </w:p>
          <w:p w14:paraId="7FBF5DC5"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864412">
              <w:rPr>
                <w:rFonts w:ascii="Times" w:hAnsi="Times" w:cs="Times"/>
                <w:lang w:val="it-IT"/>
              </w:rPr>
              <w:t>se il regolamento definitivo delle operazioni è avviato nel registro distribuito o al di fuori di esso</w:t>
            </w:r>
            <w:r w:rsidRPr="00B80D32">
              <w:rPr>
                <w:rFonts w:ascii="Times" w:hAnsi="Times" w:cs="Times"/>
                <w:lang w:val="it-IT"/>
              </w:rPr>
              <w:t>;</w:t>
            </w:r>
          </w:p>
          <w:p w14:paraId="6B7D5B81"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864412">
              <w:rPr>
                <w:rFonts w:ascii="Times" w:hAnsi="Times" w:cs="Times"/>
                <w:lang w:val="it-IT"/>
              </w:rPr>
              <w:t>l’intervallo di tempo durante il quale è avviato il regolamento definitivo delle operazioni in cripto-attività</w:t>
            </w:r>
            <w:r w:rsidRPr="00B80D32">
              <w:rPr>
                <w:rFonts w:ascii="Times" w:hAnsi="Times" w:cs="Times"/>
                <w:lang w:val="it-IT"/>
              </w:rPr>
              <w:t>;</w:t>
            </w:r>
          </w:p>
          <w:p w14:paraId="432C5754"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864412">
              <w:rPr>
                <w:rFonts w:ascii="Times" w:hAnsi="Times" w:cs="Times"/>
                <w:lang w:val="it-IT"/>
              </w:rPr>
              <w:t>il modo per verificare la disponibilità di fondi e cripto-attività</w:t>
            </w:r>
            <w:r w:rsidRPr="00B80D32">
              <w:rPr>
                <w:rFonts w:ascii="Times" w:hAnsi="Times" w:cs="Times"/>
                <w:lang w:val="it-IT"/>
              </w:rPr>
              <w:t>;</w:t>
            </w:r>
          </w:p>
          <w:p w14:paraId="171F07E9"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864412">
              <w:rPr>
                <w:rFonts w:ascii="Times" w:hAnsi="Times" w:cs="Times"/>
                <w:lang w:val="it-IT"/>
              </w:rPr>
              <w:t xml:space="preserve">il modo per confermare i </w:t>
            </w:r>
            <w:r w:rsidRPr="00F2365B">
              <w:rPr>
                <w:rFonts w:ascii="Times" w:hAnsi="Times" w:cs="Times"/>
                <w:lang w:val="it-IT"/>
              </w:rPr>
              <w:t>dettagli pertinenti delle</w:t>
            </w:r>
            <w:r w:rsidRPr="00864412">
              <w:rPr>
                <w:rFonts w:ascii="Times" w:hAnsi="Times" w:cs="Times"/>
                <w:lang w:val="it-IT"/>
              </w:rPr>
              <w:t xml:space="preserve"> operazioni</w:t>
            </w:r>
            <w:r w:rsidRPr="00B80D32">
              <w:rPr>
                <w:rFonts w:ascii="Times" w:hAnsi="Times" w:cs="Times"/>
                <w:lang w:val="it-IT"/>
              </w:rPr>
              <w:t>;</w:t>
            </w:r>
          </w:p>
          <w:p w14:paraId="1C7F39AF"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1274DD">
              <w:rPr>
                <w:rFonts w:ascii="Times" w:hAnsi="Times" w:cs="Times"/>
                <w:lang w:val="it-IT"/>
              </w:rPr>
              <w:lastRenderedPageBreak/>
              <w:t>le misure previste per limitare i mancati regolamenti</w:t>
            </w:r>
            <w:r w:rsidRPr="00B80D32">
              <w:rPr>
                <w:rFonts w:ascii="Times" w:hAnsi="Times" w:cs="Times"/>
                <w:lang w:val="it-IT"/>
              </w:rPr>
              <w:t>;</w:t>
            </w:r>
          </w:p>
          <w:p w14:paraId="57D49F5A" w14:textId="77777777" w:rsidR="00D55FE7" w:rsidRPr="00B80D32" w:rsidRDefault="00D55FE7" w:rsidP="00D55FE7">
            <w:pPr>
              <w:pStyle w:val="Paragrafoelenco"/>
              <w:numPr>
                <w:ilvl w:val="1"/>
                <w:numId w:val="12"/>
              </w:numPr>
              <w:spacing w:after="0" w:line="240" w:lineRule="auto"/>
              <w:contextualSpacing w:val="0"/>
              <w:jc w:val="both"/>
              <w:rPr>
                <w:rFonts w:ascii="Times" w:hAnsi="Times" w:cs="Times"/>
                <w:lang w:val="it-IT"/>
              </w:rPr>
            </w:pPr>
            <w:r w:rsidRPr="001274DD">
              <w:rPr>
                <w:rFonts w:ascii="Times" w:hAnsi="Times" w:cs="Times"/>
                <w:lang w:val="it-IT"/>
              </w:rPr>
              <w:t>il momento in cui il regolamento è definitivo e il momento di avvio del regolamento definitivo dopo l’esecuzione dell’operazione</w:t>
            </w:r>
            <w:r w:rsidRPr="00B80D32">
              <w:rPr>
                <w:rFonts w:ascii="Times" w:hAnsi="Times" w:cs="Times"/>
                <w:lang w:val="it-IT"/>
              </w:rPr>
              <w:t xml:space="preserve">; </w:t>
            </w:r>
          </w:p>
          <w:p w14:paraId="12F2230E"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p>
          <w:p w14:paraId="6E377E04" w14:textId="77777777" w:rsidR="00D55FE7" w:rsidRPr="00B80D32" w:rsidRDefault="00D55FE7" w:rsidP="00D55FE7">
            <w:pPr>
              <w:spacing w:after="0" w:line="240" w:lineRule="auto"/>
              <w:ind w:left="708"/>
              <w:jc w:val="both"/>
              <w:rPr>
                <w:rFonts w:ascii="Times" w:eastAsia="Times New Roman" w:hAnsi="Times" w:cs="Times"/>
                <w:i/>
                <w:iCs/>
                <w:sz w:val="20"/>
                <w:szCs w:val="20"/>
                <w:lang w:eastAsia="en-GB"/>
              </w:rPr>
            </w:pPr>
          </w:p>
        </w:tc>
        <w:tc>
          <w:tcPr>
            <w:tcW w:w="7513" w:type="dxa"/>
            <w:shd w:val="clear" w:color="auto" w:fill="FFFFFF" w:themeFill="background1"/>
          </w:tcPr>
          <w:p w14:paraId="61EA468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6C8129A8" w14:textId="77777777" w:rsidTr="00796739">
        <w:trPr>
          <w:trHeight w:val="624"/>
        </w:trPr>
        <w:tc>
          <w:tcPr>
            <w:tcW w:w="2726" w:type="dxa"/>
            <w:vMerge/>
            <w:shd w:val="clear" w:color="auto" w:fill="F2F2F2" w:themeFill="background1" w:themeFillShade="F2"/>
            <w:vAlign w:val="center"/>
          </w:tcPr>
          <w:p w14:paraId="17AC1E69" w14:textId="77777777" w:rsidR="00D55FE7" w:rsidRPr="006528E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117661B" w14:textId="77777777" w:rsidR="00D55FE7" w:rsidRPr="00B80D32" w:rsidRDefault="00D55FE7" w:rsidP="00D55FE7">
            <w:pPr>
              <w:spacing w:after="0" w:line="240" w:lineRule="auto"/>
              <w:jc w:val="both"/>
              <w:rPr>
                <w:rFonts w:ascii="Times" w:eastAsia="Times New Roman" w:hAnsi="Times" w:cs="Times"/>
                <w:i/>
                <w:iCs/>
                <w:sz w:val="20"/>
                <w:szCs w:val="20"/>
                <w:lang w:eastAsia="en-GB"/>
              </w:rPr>
            </w:pPr>
            <w:r w:rsidRPr="00B80D32">
              <w:rPr>
                <w:rFonts w:ascii="Times" w:hAnsi="Times" w:cs="Times"/>
                <w:sz w:val="20"/>
                <w:szCs w:val="20"/>
              </w:rPr>
              <w:t xml:space="preserve">(l) </w:t>
            </w:r>
            <w:r w:rsidRPr="001274DD">
              <w:rPr>
                <w:rFonts w:ascii="Times" w:hAnsi="Times" w:cs="Times"/>
                <w:sz w:val="20"/>
                <w:szCs w:val="20"/>
              </w:rPr>
              <w:t xml:space="preserve">le politiche, le procedure e i sistemi messi in atto per individuare e prevenire gli abusi di mercato, </w:t>
            </w:r>
            <w:r w:rsidRPr="008400A7">
              <w:rPr>
                <w:rFonts w:ascii="Times" w:hAnsi="Times" w:cs="Times"/>
                <w:sz w:val="20"/>
                <w:szCs w:val="20"/>
              </w:rPr>
              <w:t>comprese le informazioni sulle</w:t>
            </w:r>
            <w:r w:rsidRPr="001274DD">
              <w:rPr>
                <w:rFonts w:ascii="Times" w:hAnsi="Times" w:cs="Times"/>
                <w:sz w:val="20"/>
                <w:szCs w:val="20"/>
              </w:rPr>
              <w:t xml:space="preserve"> comunicazioni all’autorità competente di eventuali casi di abuso di mercato</w:t>
            </w:r>
            <w:r w:rsidRPr="00B80D32">
              <w:rPr>
                <w:rFonts w:ascii="Times" w:hAnsi="Times" w:cs="Times"/>
                <w:sz w:val="20"/>
                <w:szCs w:val="20"/>
              </w:rPr>
              <w:t>.</w:t>
            </w:r>
          </w:p>
        </w:tc>
        <w:tc>
          <w:tcPr>
            <w:tcW w:w="7513" w:type="dxa"/>
            <w:shd w:val="clear" w:color="auto" w:fill="FFFFFF" w:themeFill="background1"/>
          </w:tcPr>
          <w:p w14:paraId="39B4E9FC" w14:textId="1E43A43F"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21BB6C0" w14:textId="77777777" w:rsidTr="00796739">
        <w:trPr>
          <w:trHeight w:val="624"/>
        </w:trPr>
        <w:tc>
          <w:tcPr>
            <w:tcW w:w="2726" w:type="dxa"/>
            <w:shd w:val="clear" w:color="auto" w:fill="F2F2F2" w:themeFill="background1" w:themeFillShade="F2"/>
            <w:vAlign w:val="center"/>
          </w:tcPr>
          <w:p w14:paraId="32280C51" w14:textId="77777777" w:rsidR="00D55FE7" w:rsidRPr="006528EE" w:rsidRDefault="00D55FE7" w:rsidP="00D55FE7">
            <w:pPr>
              <w:spacing w:after="0" w:line="240" w:lineRule="auto"/>
              <w:jc w:val="both"/>
              <w:rPr>
                <w:rFonts w:ascii="Times" w:hAnsi="Times" w:cs="Times"/>
                <w:b/>
                <w:bCs/>
                <w:sz w:val="20"/>
                <w:szCs w:val="20"/>
              </w:rPr>
            </w:pPr>
            <w:r>
              <w:rPr>
                <w:rFonts w:ascii="Times" w:hAnsi="Times" w:cs="Times"/>
                <w:b/>
                <w:bCs/>
                <w:sz w:val="20"/>
                <w:szCs w:val="20"/>
              </w:rPr>
              <w:t>2. Regolamento della piattaforma, procedure e sistemi per la individuazione e la prevenzione degli abusi di mercato</w:t>
            </w:r>
          </w:p>
        </w:tc>
        <w:tc>
          <w:tcPr>
            <w:tcW w:w="4640" w:type="dxa"/>
            <w:shd w:val="clear" w:color="auto" w:fill="F2F2F2" w:themeFill="background1" w:themeFillShade="F2"/>
          </w:tcPr>
          <w:p w14:paraId="456D43AF" w14:textId="77777777" w:rsidR="00D55FE7" w:rsidRDefault="00D55FE7" w:rsidP="00D55FE7">
            <w:pPr>
              <w:spacing w:after="0" w:line="240" w:lineRule="auto"/>
              <w:jc w:val="both"/>
              <w:rPr>
                <w:rFonts w:ascii="Times" w:hAnsi="Times" w:cs="Times"/>
                <w:sz w:val="20"/>
                <w:szCs w:val="20"/>
              </w:rPr>
            </w:pPr>
            <w:r w:rsidRPr="001274DD">
              <w:rPr>
                <w:rFonts w:ascii="Times" w:hAnsi="Times" w:cs="Times"/>
                <w:sz w:val="20"/>
                <w:szCs w:val="20"/>
              </w:rPr>
              <w:t>I richiedenti che intendono gestire una piattaforma di negoziazione di cripto-attività forniscono all’autorità competente una copia delle norme operative della piattaforma di negoziazione ed eventuali procedure e sistemi per individuare e prevenire gli abusi di mercato</w:t>
            </w:r>
            <w:r w:rsidRPr="005A3EFB">
              <w:rPr>
                <w:rFonts w:ascii="Times" w:hAnsi="Times" w:cs="Times"/>
                <w:sz w:val="20"/>
                <w:szCs w:val="20"/>
              </w:rPr>
              <w:t>.</w:t>
            </w:r>
          </w:p>
        </w:tc>
        <w:tc>
          <w:tcPr>
            <w:tcW w:w="7513" w:type="dxa"/>
            <w:shd w:val="clear" w:color="auto" w:fill="FFFFFF" w:themeFill="background1"/>
          </w:tcPr>
          <w:p w14:paraId="0BCA7CA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031240F2" w14:textId="77777777" w:rsidTr="00A745F9">
        <w:trPr>
          <w:trHeight w:val="482"/>
        </w:trPr>
        <w:tc>
          <w:tcPr>
            <w:tcW w:w="14879" w:type="dxa"/>
            <w:gridSpan w:val="3"/>
            <w:shd w:val="clear" w:color="auto" w:fill="2E74B5" w:themeFill="accent1" w:themeFillShade="BF"/>
            <w:vAlign w:val="center"/>
          </w:tcPr>
          <w:p w14:paraId="2C3EDF88" w14:textId="77777777" w:rsidR="00D55FE7" w:rsidRPr="005061C3" w:rsidRDefault="00D55FE7" w:rsidP="00D55FE7">
            <w:pPr>
              <w:pStyle w:val="Paragrafoelenco"/>
              <w:numPr>
                <w:ilvl w:val="0"/>
                <w:numId w:val="30"/>
              </w:numPr>
              <w:spacing w:after="0" w:line="240" w:lineRule="auto"/>
              <w:jc w:val="both"/>
              <w:rPr>
                <w:rFonts w:ascii="Times" w:eastAsia="Times New Roman" w:hAnsi="Times" w:cs="Times"/>
                <w:b/>
                <w:color w:val="FFFFFF" w:themeColor="background1"/>
                <w:lang w:val="it-IT"/>
              </w:rPr>
            </w:pPr>
            <w:r w:rsidRPr="001274DD">
              <w:rPr>
                <w:rFonts w:ascii="Times" w:eastAsia="Times New Roman" w:hAnsi="Times" w:cs="Times"/>
                <w:b/>
                <w:color w:val="FFFFFF" w:themeColor="background1"/>
                <w:lang w:val="it-IT"/>
              </w:rPr>
              <w:t>SCAMBIO DI CRIPTO-ATTIVITÀ CON FONDI O SCAMBIO DI CRIPTO-ATTIVITÀ CON ALTRE CRIPTO-ATTIVITÀ</w:t>
            </w:r>
          </w:p>
        </w:tc>
      </w:tr>
      <w:tr w:rsidR="00D55FE7" w:rsidRPr="000F5074" w14:paraId="6503D367" w14:textId="77777777" w:rsidTr="00A745F9">
        <w:trPr>
          <w:trHeight w:val="340"/>
        </w:trPr>
        <w:tc>
          <w:tcPr>
            <w:tcW w:w="14879" w:type="dxa"/>
            <w:gridSpan w:val="3"/>
            <w:shd w:val="clear" w:color="auto" w:fill="8496B0" w:themeFill="text2" w:themeFillTint="99"/>
            <w:vAlign w:val="center"/>
          </w:tcPr>
          <w:p w14:paraId="6E5243E6" w14:textId="77777777" w:rsidR="00D55FE7" w:rsidRPr="000F5074" w:rsidRDefault="00D55FE7" w:rsidP="00D55FE7">
            <w:pPr>
              <w:spacing w:after="0" w:line="240" w:lineRule="auto"/>
              <w:jc w:val="both"/>
              <w:rPr>
                <w:rFonts w:ascii="Times" w:eastAsia="Times New Roman" w:hAnsi="Times" w:cs="Times"/>
                <w:b/>
                <w:bCs/>
                <w:color w:val="FFFFFF" w:themeColor="background1"/>
                <w:sz w:val="20"/>
                <w:szCs w:val="20"/>
                <w:lang w:eastAsia="en-GB"/>
              </w:rPr>
            </w:pPr>
            <w:r w:rsidRPr="000F5074">
              <w:rPr>
                <w:rFonts w:ascii="Times" w:eastAsia="Times New Roman" w:hAnsi="Times" w:cs="Times"/>
                <w:b/>
                <w:bCs/>
                <w:color w:val="FFFFFF" w:themeColor="background1"/>
                <w:sz w:val="20"/>
                <w:szCs w:val="20"/>
                <w:lang w:eastAsia="en-GB"/>
              </w:rPr>
              <w:t>Per il prestatore di servizi che intende offrire il servizio di scambio di cripto-attività con fondi o con altre cripto-attività</w:t>
            </w:r>
          </w:p>
        </w:tc>
      </w:tr>
      <w:tr w:rsidR="00D55FE7" w:rsidRPr="0080402F" w14:paraId="559A3E65" w14:textId="77777777" w:rsidTr="00111686">
        <w:trPr>
          <w:trHeight w:val="624"/>
        </w:trPr>
        <w:tc>
          <w:tcPr>
            <w:tcW w:w="7366" w:type="dxa"/>
            <w:gridSpan w:val="2"/>
            <w:shd w:val="clear" w:color="auto" w:fill="F2F2F2" w:themeFill="background1" w:themeFillShade="F2"/>
            <w:vAlign w:val="center"/>
          </w:tcPr>
          <w:p w14:paraId="5ED20922" w14:textId="77777777" w:rsidR="00D55FE7" w:rsidRPr="00D456BD" w:rsidRDefault="00D55FE7" w:rsidP="00D55FE7">
            <w:pPr>
              <w:spacing w:after="0" w:line="240" w:lineRule="auto"/>
              <w:jc w:val="both"/>
              <w:rPr>
                <w:rFonts w:ascii="Times" w:eastAsia="Times New Roman" w:hAnsi="Times" w:cs="Times"/>
                <w:bCs/>
                <w:iCs/>
                <w:sz w:val="20"/>
                <w:szCs w:val="20"/>
                <w:lang w:eastAsia="en-GB"/>
              </w:rPr>
            </w:pPr>
            <w:r w:rsidRPr="00D8148A">
              <w:rPr>
                <w:rFonts w:ascii="Times" w:hAnsi="Times" w:cs="Times"/>
                <w:bCs/>
                <w:iCs/>
                <w:sz w:val="20"/>
                <w:szCs w:val="20"/>
              </w:rPr>
              <w:t xml:space="preserve">Ai </w:t>
            </w:r>
            <w:r>
              <w:rPr>
                <w:rFonts w:ascii="Times" w:hAnsi="Times" w:cs="Times"/>
                <w:bCs/>
                <w:iCs/>
                <w:sz w:val="20"/>
                <w:szCs w:val="20"/>
              </w:rPr>
              <w:t>sensi</w:t>
            </w:r>
            <w:r w:rsidRPr="00D8148A">
              <w:rPr>
                <w:rFonts w:ascii="Times" w:hAnsi="Times" w:cs="Times"/>
                <w:bCs/>
                <w:iCs/>
                <w:sz w:val="20"/>
                <w:szCs w:val="20"/>
              </w:rPr>
              <w:t xml:space="preserve"> dell’articolo 62, paragrafo 2, lettera o), del regolamento (UE) 2023/1114</w:t>
            </w:r>
            <w:r>
              <w:rPr>
                <w:rFonts w:ascii="Times" w:hAnsi="Times" w:cs="Times"/>
                <w:bCs/>
                <w:iCs/>
                <w:sz w:val="20"/>
                <w:szCs w:val="20"/>
              </w:rPr>
              <w:t xml:space="preserve"> e dell’articolo 14 del regolamento delegato (UE) della Commissione 2025/305</w:t>
            </w:r>
            <w:r w:rsidRPr="00D8148A">
              <w:rPr>
                <w:rFonts w:ascii="Times" w:hAnsi="Times" w:cs="Times"/>
                <w:bCs/>
                <w:iCs/>
                <w:sz w:val="20"/>
                <w:szCs w:val="20"/>
              </w:rPr>
              <w:t>, i richiedenti che intendono scambiare cripto-attività con fondi o altre cripto-attività forniscono all’autorità competente tutte le informazioni seguenti:</w:t>
            </w:r>
          </w:p>
        </w:tc>
        <w:tc>
          <w:tcPr>
            <w:tcW w:w="7513" w:type="dxa"/>
            <w:shd w:val="clear" w:color="auto" w:fill="F2F2F2" w:themeFill="background1" w:themeFillShade="F2"/>
          </w:tcPr>
          <w:p w14:paraId="3AB53AB6" w14:textId="77777777" w:rsidR="00D55FE7" w:rsidRPr="00E313C3" w:rsidRDefault="00D55FE7" w:rsidP="00D55FE7">
            <w:pPr>
              <w:spacing w:after="0" w:line="240" w:lineRule="auto"/>
              <w:jc w:val="both"/>
              <w:rPr>
                <w:rFonts w:ascii="Times" w:eastAsia="Times New Roman" w:hAnsi="Times" w:cs="Times"/>
                <w:bCs/>
                <w:color w:val="2E74B5" w:themeColor="accent1" w:themeShade="BF"/>
                <w:sz w:val="20"/>
                <w:szCs w:val="20"/>
                <w:lang w:eastAsia="en-GB"/>
              </w:rPr>
            </w:pPr>
            <w:r w:rsidRPr="00E313C3">
              <w:rPr>
                <w:rFonts w:ascii="Times New Roman" w:eastAsia="Times New Roman" w:hAnsi="Times New Roman" w:cs="Times New Roman"/>
                <w:i/>
                <w:color w:val="2E74B5" w:themeColor="accent1" w:themeShade="BF"/>
                <w:sz w:val="20"/>
                <w:szCs w:val="20"/>
                <w:lang w:eastAsia="en-GB"/>
              </w:rPr>
              <w:t>Le informazioni di dettaglio potranno essere fornite nell'Allegato 14, suddividendole in paragrafi.</w:t>
            </w:r>
          </w:p>
        </w:tc>
      </w:tr>
      <w:tr w:rsidR="00D55FE7" w:rsidRPr="008B23C0" w14:paraId="0ABC5220" w14:textId="77777777" w:rsidTr="000F3B90">
        <w:trPr>
          <w:trHeight w:val="624"/>
        </w:trPr>
        <w:tc>
          <w:tcPr>
            <w:tcW w:w="2726" w:type="dxa"/>
            <w:vMerge w:val="restart"/>
            <w:shd w:val="clear" w:color="auto" w:fill="F2F2F2" w:themeFill="background1" w:themeFillShade="F2"/>
            <w:vAlign w:val="center"/>
          </w:tcPr>
          <w:p w14:paraId="19588036" w14:textId="77777777" w:rsidR="00D55FE7" w:rsidRPr="0000724C" w:rsidRDefault="00D55FE7" w:rsidP="00D55FE7">
            <w:pPr>
              <w:spacing w:after="0" w:line="240" w:lineRule="auto"/>
              <w:jc w:val="both"/>
              <w:rPr>
                <w:rFonts w:ascii="Times" w:hAnsi="Times" w:cs="Times"/>
                <w:b/>
                <w:iCs/>
                <w:sz w:val="20"/>
                <w:szCs w:val="20"/>
              </w:rPr>
            </w:pPr>
          </w:p>
        </w:tc>
        <w:tc>
          <w:tcPr>
            <w:tcW w:w="4640" w:type="dxa"/>
            <w:shd w:val="clear" w:color="auto" w:fill="F2F2F2" w:themeFill="background1" w:themeFillShade="F2"/>
          </w:tcPr>
          <w:p w14:paraId="733B5116"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iCs/>
                <w:sz w:val="20"/>
                <w:szCs w:val="20"/>
              </w:rPr>
              <w:t xml:space="preserve">(a) </w:t>
            </w:r>
            <w:r w:rsidRPr="001C616B">
              <w:rPr>
                <w:rFonts w:ascii="Times" w:hAnsi="Times" w:cs="Times"/>
                <w:iCs/>
                <w:sz w:val="20"/>
                <w:szCs w:val="20"/>
              </w:rPr>
              <w:t>una descrizione della politica commerciale stabilita conformemente all’articolo 77, paragrafo 1, del regolamento (UE) 2023/1114</w:t>
            </w:r>
            <w:r>
              <w:rPr>
                <w:rFonts w:ascii="Times" w:hAnsi="Times" w:cs="Times"/>
                <w:iCs/>
                <w:sz w:val="20"/>
                <w:szCs w:val="20"/>
              </w:rPr>
              <w:t>;</w:t>
            </w:r>
          </w:p>
        </w:tc>
        <w:tc>
          <w:tcPr>
            <w:tcW w:w="7513" w:type="dxa"/>
            <w:shd w:val="clear" w:color="auto" w:fill="FFFFFF" w:themeFill="background1"/>
          </w:tcPr>
          <w:p w14:paraId="45A29F0B"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13F02FBA" w14:textId="77777777" w:rsidTr="000F3B90">
        <w:trPr>
          <w:trHeight w:val="624"/>
        </w:trPr>
        <w:tc>
          <w:tcPr>
            <w:tcW w:w="2726" w:type="dxa"/>
            <w:vMerge/>
            <w:shd w:val="clear" w:color="auto" w:fill="F2F2F2" w:themeFill="background1" w:themeFillShade="F2"/>
            <w:vAlign w:val="center"/>
          </w:tcPr>
          <w:p w14:paraId="58A5F343" w14:textId="77777777" w:rsidR="00D55FE7" w:rsidRPr="006528EE" w:rsidRDefault="00D55FE7" w:rsidP="00D55FE7">
            <w:pPr>
              <w:spacing w:after="0" w:line="240" w:lineRule="auto"/>
              <w:jc w:val="both"/>
              <w:rPr>
                <w:rFonts w:ascii="Times" w:hAnsi="Times" w:cs="Times"/>
                <w:b/>
                <w:sz w:val="20"/>
                <w:szCs w:val="20"/>
              </w:rPr>
            </w:pPr>
          </w:p>
        </w:tc>
        <w:tc>
          <w:tcPr>
            <w:tcW w:w="4640" w:type="dxa"/>
            <w:shd w:val="clear" w:color="auto" w:fill="F2F2F2" w:themeFill="background1" w:themeFillShade="F2"/>
          </w:tcPr>
          <w:p w14:paraId="71724567" w14:textId="22D2428F" w:rsidR="00D55FE7" w:rsidRPr="000F5074" w:rsidRDefault="00D55FE7" w:rsidP="00D55FE7">
            <w:pPr>
              <w:spacing w:after="0" w:line="240" w:lineRule="auto"/>
              <w:jc w:val="both"/>
              <w:rPr>
                <w:rFonts w:ascii="Times" w:hAnsi="Times" w:cs="Times"/>
                <w:iCs/>
                <w:sz w:val="20"/>
                <w:szCs w:val="20"/>
              </w:rPr>
            </w:pPr>
            <w:r w:rsidRPr="000F5074">
              <w:rPr>
                <w:rFonts w:ascii="Times" w:hAnsi="Times" w:cs="Times"/>
                <w:iCs/>
                <w:sz w:val="20"/>
                <w:szCs w:val="20"/>
              </w:rPr>
              <w:t xml:space="preserve">(b) </w:t>
            </w:r>
            <w:r w:rsidRPr="001C616B">
              <w:rPr>
                <w:rFonts w:ascii="Times" w:hAnsi="Times" w:cs="Times"/>
                <w:iCs/>
                <w:sz w:val="20"/>
                <w:szCs w:val="20"/>
              </w:rPr>
              <w:t>una descrizione del metodo per determinare il prezzo delle cripto-attività che il richiedente propone di scambiare con fondi o altre cripto-attività conformemente all’articolo 77, paragrafo 2, del regolamento (UE) 2023/1114, compreso il modo in cui il volume e la volatilità di mercato delle cripto-attività incidono sul meccanismo di determinazione del prezzo</w:t>
            </w:r>
            <w:r w:rsidRPr="000F5074">
              <w:rPr>
                <w:rFonts w:ascii="Times" w:eastAsia="Times New Roman" w:hAnsi="Times" w:cs="Times"/>
                <w:bCs/>
                <w:iCs/>
                <w:sz w:val="20"/>
                <w:szCs w:val="20"/>
                <w:lang w:eastAsia="en-GB"/>
              </w:rPr>
              <w:t xml:space="preserve">. </w:t>
            </w:r>
          </w:p>
        </w:tc>
        <w:tc>
          <w:tcPr>
            <w:tcW w:w="7513" w:type="dxa"/>
            <w:shd w:val="clear" w:color="auto" w:fill="FFFFFF" w:themeFill="background1"/>
          </w:tcPr>
          <w:p w14:paraId="47DD681E" w14:textId="0F98244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0786DEDC" w14:textId="77777777" w:rsidTr="00A745F9">
        <w:trPr>
          <w:trHeight w:val="482"/>
        </w:trPr>
        <w:tc>
          <w:tcPr>
            <w:tcW w:w="14879" w:type="dxa"/>
            <w:gridSpan w:val="3"/>
            <w:shd w:val="clear" w:color="auto" w:fill="2E74B5" w:themeFill="accent1" w:themeFillShade="BF"/>
            <w:vAlign w:val="center"/>
          </w:tcPr>
          <w:p w14:paraId="71F2B7EC" w14:textId="77777777" w:rsidR="00D55FE7" w:rsidRPr="000F5074" w:rsidRDefault="00D55FE7" w:rsidP="00D55FE7">
            <w:pPr>
              <w:pStyle w:val="Paragrafoelenco"/>
              <w:numPr>
                <w:ilvl w:val="0"/>
                <w:numId w:val="30"/>
              </w:numPr>
              <w:spacing w:after="0" w:line="240" w:lineRule="auto"/>
              <w:jc w:val="both"/>
              <w:rPr>
                <w:rFonts w:ascii="Times" w:eastAsia="Times New Roman" w:hAnsi="Times" w:cs="Times"/>
                <w:b/>
                <w:color w:val="FFFFFF" w:themeColor="background1"/>
              </w:rPr>
            </w:pPr>
            <w:r w:rsidRPr="00B16AD2">
              <w:rPr>
                <w:rFonts w:ascii="Times" w:eastAsia="Times New Roman" w:hAnsi="Times" w:cs="Times"/>
                <w:b/>
                <w:color w:val="FFFFFF" w:themeColor="background1"/>
                <w:lang w:val="it-IT"/>
              </w:rPr>
              <w:lastRenderedPageBreak/>
              <w:t>POLITICA</w:t>
            </w:r>
            <w:r w:rsidRPr="00B80D32">
              <w:rPr>
                <w:rFonts w:ascii="Times" w:eastAsia="Times New Roman" w:hAnsi="Times" w:cs="Times"/>
                <w:b/>
                <w:color w:val="FFFFFF" w:themeColor="background1"/>
              </w:rPr>
              <w:t xml:space="preserve"> DI ESECUZIONE</w:t>
            </w:r>
          </w:p>
        </w:tc>
      </w:tr>
      <w:tr w:rsidR="00D55FE7" w:rsidRPr="000F5074" w14:paraId="5FAE7E6A" w14:textId="77777777" w:rsidTr="00A745F9">
        <w:trPr>
          <w:trHeight w:val="340"/>
        </w:trPr>
        <w:tc>
          <w:tcPr>
            <w:tcW w:w="14879" w:type="dxa"/>
            <w:gridSpan w:val="3"/>
            <w:shd w:val="clear" w:color="auto" w:fill="8496B0" w:themeFill="text2" w:themeFillTint="99"/>
            <w:vAlign w:val="center"/>
          </w:tcPr>
          <w:p w14:paraId="5C2056CB" w14:textId="77777777" w:rsidR="00D55FE7" w:rsidRPr="000F5074" w:rsidRDefault="00D55FE7" w:rsidP="00D55FE7">
            <w:pPr>
              <w:spacing w:after="0" w:line="240" w:lineRule="auto"/>
              <w:jc w:val="both"/>
              <w:rPr>
                <w:rFonts w:ascii="Times" w:eastAsia="Times New Roman" w:hAnsi="Times" w:cs="Times"/>
                <w:b/>
                <w:color w:val="FFFFFF" w:themeColor="background1"/>
                <w:sz w:val="20"/>
                <w:szCs w:val="20"/>
                <w:lang w:eastAsia="en-GB"/>
              </w:rPr>
            </w:pPr>
            <w:r w:rsidRPr="000F5074">
              <w:rPr>
                <w:rFonts w:ascii="Times" w:eastAsia="Times New Roman" w:hAnsi="Times" w:cs="Times"/>
                <w:b/>
                <w:color w:val="FFFFFF" w:themeColor="background1"/>
                <w:sz w:val="20"/>
                <w:szCs w:val="20"/>
                <w:lang w:eastAsia="en-GB"/>
              </w:rPr>
              <w:t>Per il prestatore che intende fornire il servizio di esecuzione di ordini</w:t>
            </w:r>
          </w:p>
        </w:tc>
      </w:tr>
      <w:tr w:rsidR="00D55FE7" w:rsidRPr="0080402F" w14:paraId="24735F8A" w14:textId="77777777" w:rsidTr="00111686">
        <w:trPr>
          <w:trHeight w:val="865"/>
        </w:trPr>
        <w:tc>
          <w:tcPr>
            <w:tcW w:w="7366" w:type="dxa"/>
            <w:gridSpan w:val="2"/>
            <w:shd w:val="clear" w:color="auto" w:fill="F2F2F2" w:themeFill="background1" w:themeFillShade="F2"/>
            <w:vAlign w:val="center"/>
          </w:tcPr>
          <w:p w14:paraId="44348C16" w14:textId="77777777" w:rsidR="00D55FE7" w:rsidRDefault="00D55FE7" w:rsidP="00D55FE7">
            <w:pPr>
              <w:spacing w:after="0" w:line="240" w:lineRule="auto"/>
              <w:jc w:val="both"/>
              <w:rPr>
                <w:rFonts w:ascii="Times" w:eastAsia="Times New Roman" w:hAnsi="Times" w:cs="Times"/>
                <w:sz w:val="20"/>
                <w:szCs w:val="20"/>
                <w:lang w:eastAsia="en-GB"/>
              </w:rPr>
            </w:pPr>
            <w:r w:rsidRPr="00D8148A">
              <w:rPr>
                <w:rFonts w:ascii="Times" w:eastAsia="Times New Roman" w:hAnsi="Times" w:cs="Times"/>
                <w:sz w:val="20"/>
                <w:szCs w:val="20"/>
                <w:lang w:eastAsia="en-GB"/>
              </w:rPr>
              <w:t xml:space="preserve">Ai </w:t>
            </w:r>
            <w:r>
              <w:rPr>
                <w:rFonts w:ascii="Times" w:eastAsia="Times New Roman" w:hAnsi="Times" w:cs="Times"/>
                <w:sz w:val="20"/>
                <w:szCs w:val="20"/>
                <w:lang w:eastAsia="en-GB"/>
              </w:rPr>
              <w:t>sensi</w:t>
            </w:r>
            <w:r w:rsidRPr="00D8148A">
              <w:rPr>
                <w:rFonts w:ascii="Times" w:eastAsia="Times New Roman" w:hAnsi="Times" w:cs="Times"/>
                <w:sz w:val="20"/>
                <w:szCs w:val="20"/>
                <w:lang w:eastAsia="en-GB"/>
              </w:rPr>
              <w:t xml:space="preserve"> dell’articolo 62, paragrafo 2, lettera p), del regolamento (UE) 2023/1114</w:t>
            </w:r>
            <w:r>
              <w:rPr>
                <w:rFonts w:ascii="Times" w:eastAsia="Times New Roman" w:hAnsi="Times" w:cs="Times"/>
                <w:sz w:val="20"/>
                <w:szCs w:val="20"/>
                <w:lang w:eastAsia="en-GB"/>
              </w:rPr>
              <w:t xml:space="preserve"> e dell’articolo 15 del regolamento delegato (UE) della Commissione 2025/305</w:t>
            </w:r>
            <w:r w:rsidRPr="00D8148A">
              <w:rPr>
                <w:rFonts w:ascii="Times" w:eastAsia="Times New Roman" w:hAnsi="Times" w:cs="Times"/>
                <w:sz w:val="20"/>
                <w:szCs w:val="20"/>
                <w:lang w:eastAsia="en-GB"/>
              </w:rPr>
              <w:t>, i richiedenti che intendono eseguire ordini di cripto-attività per conto di clienti forniscono all’autorità competente la loro politica di esecuzione, comprese tutte le informazioni seguenti</w:t>
            </w:r>
            <w:r>
              <w:rPr>
                <w:rFonts w:ascii="Times" w:eastAsia="Times New Roman" w:hAnsi="Times" w:cs="Times"/>
                <w:bCs/>
                <w:iCs/>
                <w:sz w:val="20"/>
                <w:szCs w:val="20"/>
                <w:lang w:eastAsia="en-GB"/>
              </w:rPr>
              <w:t>:</w:t>
            </w:r>
          </w:p>
        </w:tc>
        <w:tc>
          <w:tcPr>
            <w:tcW w:w="7513" w:type="dxa"/>
            <w:shd w:val="clear" w:color="auto" w:fill="F2F2F2" w:themeFill="background1" w:themeFillShade="F2"/>
          </w:tcPr>
          <w:p w14:paraId="2EEF1131" w14:textId="77777777" w:rsidR="00D55FE7" w:rsidRPr="00D8148A" w:rsidRDefault="00D55FE7" w:rsidP="00D55FE7">
            <w:pPr>
              <w:spacing w:after="0" w:line="240" w:lineRule="auto"/>
              <w:jc w:val="both"/>
              <w:rPr>
                <w:rFonts w:ascii="Times" w:eastAsia="Times New Roman" w:hAnsi="Times" w:cs="Times"/>
                <w:i/>
                <w:iCs/>
                <w:color w:val="2E74B5" w:themeColor="accent1" w:themeShade="BF"/>
                <w:sz w:val="20"/>
                <w:szCs w:val="20"/>
              </w:rPr>
            </w:pPr>
            <w:r w:rsidRPr="00E313C3">
              <w:rPr>
                <w:rFonts w:ascii="Times" w:eastAsia="Times New Roman" w:hAnsi="Times" w:cs="Times"/>
                <w:i/>
                <w:iCs/>
                <w:color w:val="2E74B5" w:themeColor="accent1" w:themeShade="BF"/>
                <w:sz w:val="20"/>
                <w:szCs w:val="20"/>
              </w:rPr>
              <w:t>Le informazioni di dettaglio potranno essere fornite nell'Allegato 15,</w:t>
            </w:r>
            <w:r w:rsidRPr="00E313C3">
              <w:rPr>
                <w:rFonts w:ascii="Times New Roman" w:eastAsia="Times New Roman" w:hAnsi="Times New Roman" w:cs="Times New Roman"/>
                <w:i/>
                <w:color w:val="2E74B5" w:themeColor="accent1" w:themeShade="BF"/>
                <w:sz w:val="20"/>
                <w:szCs w:val="20"/>
                <w:lang w:eastAsia="en-GB"/>
              </w:rPr>
              <w:t xml:space="preserve"> suddividendole in paragrafi</w:t>
            </w:r>
            <w:r w:rsidRPr="00E313C3">
              <w:rPr>
                <w:rFonts w:ascii="Times" w:eastAsia="Times New Roman" w:hAnsi="Times" w:cs="Times"/>
                <w:i/>
                <w:iCs/>
                <w:color w:val="2E74B5" w:themeColor="accent1" w:themeShade="BF"/>
                <w:sz w:val="20"/>
                <w:szCs w:val="20"/>
              </w:rPr>
              <w:t>.</w:t>
            </w:r>
          </w:p>
        </w:tc>
      </w:tr>
      <w:tr w:rsidR="00D55FE7" w:rsidRPr="008B23C0" w14:paraId="20348F9A" w14:textId="77777777" w:rsidTr="00D55FE7">
        <w:trPr>
          <w:trHeight w:val="624"/>
        </w:trPr>
        <w:tc>
          <w:tcPr>
            <w:tcW w:w="2726" w:type="dxa"/>
            <w:vMerge w:val="restart"/>
            <w:shd w:val="clear" w:color="auto" w:fill="F2F2F2" w:themeFill="background1" w:themeFillShade="F2"/>
          </w:tcPr>
          <w:p w14:paraId="792509B2" w14:textId="77777777" w:rsidR="00D55FE7" w:rsidRPr="0000724C"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CF1E654" w14:textId="77777777" w:rsidR="00D55FE7" w:rsidRPr="006528EE" w:rsidRDefault="00D55FE7"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(a)</w:t>
            </w:r>
            <w:r>
              <w:rPr>
                <w:rFonts w:ascii="Times" w:hAnsi="Times" w:cs="Times"/>
                <w:sz w:val="20"/>
                <w:szCs w:val="20"/>
              </w:rPr>
              <w:t xml:space="preserve"> </w:t>
            </w:r>
            <w:r w:rsidRPr="001C616B">
              <w:rPr>
                <w:rFonts w:ascii="Times" w:hAnsi="Times" w:cs="Times"/>
                <w:sz w:val="20"/>
                <w:szCs w:val="20"/>
              </w:rPr>
              <w:t>i dispositivi che garantiscono che il cliente abbia dato il proprio consenso alla politica di esecuzione prima dell’esecuzione dell’ordine</w:t>
            </w:r>
            <w:r w:rsidRPr="000F5074">
              <w:rPr>
                <w:rFonts w:ascii="Times" w:hAnsi="Times" w:cs="Times"/>
                <w:sz w:val="20"/>
                <w:szCs w:val="20"/>
              </w:rPr>
              <w:t>;</w:t>
            </w:r>
          </w:p>
        </w:tc>
        <w:tc>
          <w:tcPr>
            <w:tcW w:w="7513" w:type="dxa"/>
            <w:shd w:val="clear" w:color="auto" w:fill="FFFFFF" w:themeFill="background1"/>
          </w:tcPr>
          <w:p w14:paraId="23A586E4" w14:textId="77777777" w:rsidR="00D55FE7" w:rsidRPr="00F41F42" w:rsidRDefault="00D55FE7" w:rsidP="00F41F42">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26A0ED19" w14:textId="77777777" w:rsidTr="00D55FE7">
        <w:trPr>
          <w:trHeight w:val="624"/>
        </w:trPr>
        <w:tc>
          <w:tcPr>
            <w:tcW w:w="2726" w:type="dxa"/>
            <w:vMerge/>
            <w:shd w:val="clear" w:color="auto" w:fill="F2F2F2" w:themeFill="background1" w:themeFillShade="F2"/>
          </w:tcPr>
          <w:p w14:paraId="164F9AB2"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6EE54EA" w14:textId="72AC83B1"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(b)</w:t>
            </w:r>
            <w:r>
              <w:rPr>
                <w:rFonts w:ascii="Times" w:hAnsi="Times" w:cs="Times"/>
                <w:sz w:val="20"/>
                <w:szCs w:val="20"/>
              </w:rPr>
              <w:t xml:space="preserve"> </w:t>
            </w:r>
            <w:r w:rsidRPr="001C616B">
              <w:rPr>
                <w:rFonts w:ascii="Times" w:hAnsi="Times" w:cs="Times"/>
                <w:sz w:val="20"/>
                <w:szCs w:val="20"/>
              </w:rPr>
              <w:t>un elenco delle piattaforme di negoziazione di cripto-attività che il richiedente utilizzerà per l’esecuzione degli ordini e i criteri per la valutazione delle sedi di esecuzione incluse nella politica di esecuzione conformemente all’articolo 78, paragrafo 6, del regolamento (UE) 2023/1114</w:t>
            </w:r>
            <w:r>
              <w:rPr>
                <w:rFonts w:ascii="Times" w:eastAsia="Times New Roman" w:hAnsi="Times" w:cs="Times"/>
                <w:bCs/>
                <w:iCs/>
                <w:sz w:val="20"/>
                <w:szCs w:val="20"/>
                <w:lang w:eastAsia="en-GB"/>
              </w:rPr>
              <w:t>;</w:t>
            </w:r>
          </w:p>
        </w:tc>
        <w:tc>
          <w:tcPr>
            <w:tcW w:w="7513" w:type="dxa"/>
            <w:shd w:val="clear" w:color="auto" w:fill="FFFFFF" w:themeFill="background1"/>
          </w:tcPr>
          <w:p w14:paraId="003C5BF8"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48AC4569" w14:textId="77777777" w:rsidTr="00D55FE7">
        <w:trPr>
          <w:trHeight w:val="624"/>
        </w:trPr>
        <w:tc>
          <w:tcPr>
            <w:tcW w:w="2726" w:type="dxa"/>
            <w:vMerge/>
            <w:shd w:val="clear" w:color="auto" w:fill="F2F2F2" w:themeFill="background1" w:themeFillShade="F2"/>
          </w:tcPr>
          <w:p w14:paraId="29C7F143"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67F50BB" w14:textId="5F450FCA"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(c) </w:t>
            </w:r>
            <w:r w:rsidRPr="001C616B">
              <w:rPr>
                <w:rFonts w:ascii="Times" w:hAnsi="Times" w:cs="Times"/>
                <w:sz w:val="20"/>
                <w:szCs w:val="20"/>
              </w:rPr>
              <w:t>quali piattaforme di negoziazione il richiedente intende utilizzare per ciascun tipo di cripto-attività e la conferma che il richiedente non riceverà alcuna forma di remunerazione, sconto o beneficio non monetario per il fatto di canalizzare gli ordini ricevuti verso una particolare piattaforma di negoziazione di cripto-attività</w:t>
            </w:r>
            <w:r>
              <w:rPr>
                <w:rFonts w:ascii="Times" w:hAnsi="Times" w:cs="Times"/>
                <w:sz w:val="20"/>
                <w:szCs w:val="20"/>
              </w:rPr>
              <w:t>;</w:t>
            </w:r>
          </w:p>
        </w:tc>
        <w:tc>
          <w:tcPr>
            <w:tcW w:w="7513" w:type="dxa"/>
            <w:shd w:val="clear" w:color="auto" w:fill="FFFFFF" w:themeFill="background1"/>
          </w:tcPr>
          <w:p w14:paraId="0D491B62"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2D209F7A" w14:textId="77777777" w:rsidTr="00D55FE7">
        <w:trPr>
          <w:trHeight w:val="624"/>
        </w:trPr>
        <w:tc>
          <w:tcPr>
            <w:tcW w:w="2726" w:type="dxa"/>
            <w:vMerge/>
            <w:shd w:val="clear" w:color="auto" w:fill="F2F2F2" w:themeFill="background1" w:themeFillShade="F2"/>
          </w:tcPr>
          <w:p w14:paraId="694E55D8"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D403301" w14:textId="777BA733"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(d</w:t>
            </w:r>
            <w:r w:rsidRPr="00BB29D8">
              <w:rPr>
                <w:rFonts w:ascii="Times" w:hAnsi="Times" w:cs="Times"/>
                <w:sz w:val="20"/>
                <w:szCs w:val="20"/>
              </w:rPr>
              <w:t xml:space="preserve">) </w:t>
            </w:r>
            <w:r w:rsidRPr="001C616B">
              <w:rPr>
                <w:rFonts w:ascii="Times" w:hAnsi="Times" w:cs="Times"/>
                <w:sz w:val="20"/>
                <w:szCs w:val="20"/>
              </w:rPr>
              <w:t>il modo in cui l’esecuzione tiene conto del prezzo, dei costi, della velocità, della probabilità di esecuzione e regolamento, delle dimensioni, della natura, delle condizioni di custodia delle cripto-attività o di qualsiasi altro fattore pertinente considerato parte di tutte le misure necessarie per ottenere il miglior risultato possibile per il cliente</w:t>
            </w:r>
            <w:r>
              <w:rPr>
                <w:rFonts w:ascii="Times" w:hAnsi="Times" w:cs="Times"/>
                <w:sz w:val="20"/>
                <w:szCs w:val="20"/>
              </w:rPr>
              <w:t>;</w:t>
            </w:r>
          </w:p>
        </w:tc>
        <w:tc>
          <w:tcPr>
            <w:tcW w:w="7513" w:type="dxa"/>
            <w:shd w:val="clear" w:color="auto" w:fill="FFFFFF" w:themeFill="background1"/>
          </w:tcPr>
          <w:p w14:paraId="22F1B104"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A257B15" w14:textId="77777777" w:rsidTr="00D55FE7">
        <w:trPr>
          <w:trHeight w:val="624"/>
        </w:trPr>
        <w:tc>
          <w:tcPr>
            <w:tcW w:w="2726" w:type="dxa"/>
            <w:vMerge/>
            <w:shd w:val="clear" w:color="auto" w:fill="F2F2F2" w:themeFill="background1" w:themeFillShade="F2"/>
          </w:tcPr>
          <w:p w14:paraId="1A491C80"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01D70A9C" w14:textId="5DCA422B"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(e) </w:t>
            </w:r>
            <w:r w:rsidRPr="00277848">
              <w:rPr>
                <w:rFonts w:ascii="Times" w:hAnsi="Times" w:cs="Times"/>
                <w:sz w:val="20"/>
                <w:szCs w:val="20"/>
              </w:rPr>
              <w:t>se del caso,</w:t>
            </w:r>
            <w:r w:rsidRPr="001C616B">
              <w:rPr>
                <w:rFonts w:ascii="Times" w:hAnsi="Times" w:cs="Times"/>
                <w:sz w:val="20"/>
                <w:szCs w:val="20"/>
              </w:rPr>
              <w:t xml:space="preserve"> le modalità per informare i clienti che il richiedente eseguirà ordini al di fuori di una piattaforma di negoziazione e il modo in cui il richiedente otterrà il </w:t>
            </w:r>
            <w:r w:rsidRPr="001C616B">
              <w:rPr>
                <w:rFonts w:ascii="Times" w:hAnsi="Times" w:cs="Times"/>
                <w:sz w:val="20"/>
                <w:szCs w:val="20"/>
              </w:rPr>
              <w:lastRenderedPageBreak/>
              <w:t>consenso esplicito preventivo dei suoi clienti prima di eseguire tali ordini</w:t>
            </w:r>
            <w:r>
              <w:rPr>
                <w:rFonts w:ascii="Times" w:hAnsi="Times" w:cs="Times"/>
                <w:sz w:val="20"/>
                <w:szCs w:val="20"/>
              </w:rPr>
              <w:t>;</w:t>
            </w:r>
            <w:r w:rsidRPr="000F5074">
              <w:rPr>
                <w:rFonts w:ascii="Times" w:hAnsi="Times" w:cs="Times"/>
                <w:sz w:val="20"/>
                <w:szCs w:val="20"/>
              </w:rPr>
              <w:t xml:space="preserve"> </w:t>
            </w:r>
          </w:p>
        </w:tc>
        <w:tc>
          <w:tcPr>
            <w:tcW w:w="7513" w:type="dxa"/>
            <w:shd w:val="clear" w:color="auto" w:fill="FFFFFF" w:themeFill="background1"/>
          </w:tcPr>
          <w:p w14:paraId="31BEA750"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52B378E3" w14:textId="77777777" w:rsidTr="00D55FE7">
        <w:trPr>
          <w:trHeight w:val="624"/>
        </w:trPr>
        <w:tc>
          <w:tcPr>
            <w:tcW w:w="2726" w:type="dxa"/>
            <w:vMerge/>
            <w:shd w:val="clear" w:color="auto" w:fill="F2F2F2" w:themeFill="background1" w:themeFillShade="F2"/>
          </w:tcPr>
          <w:p w14:paraId="7CBC85DF"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768A7AE" w14:textId="3359422A"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(f) </w:t>
            </w:r>
            <w:r w:rsidRPr="00974202">
              <w:rPr>
                <w:rFonts w:ascii="Times" w:hAnsi="Times" w:cs="Times"/>
                <w:sz w:val="20"/>
                <w:szCs w:val="20"/>
              </w:rPr>
              <w:t>il modo in cui il cliente è avvertito che eventuali istruzioni specifiche di un cliente possono impedire al richiedente di adottare le misure necessarie, in linea con le modalità stabilite e attuate da quest’ultimo nella sua politica di esecuzione, per ottenere il miglior risultato possibile per l’esecuzione di tali ordini in relazione agli elementi contemplati da tali istruzioni</w:t>
            </w:r>
            <w:r>
              <w:rPr>
                <w:rFonts w:ascii="Times" w:hAnsi="Times" w:cs="Times"/>
                <w:sz w:val="20"/>
                <w:szCs w:val="20"/>
              </w:rPr>
              <w:t>;</w:t>
            </w:r>
          </w:p>
        </w:tc>
        <w:tc>
          <w:tcPr>
            <w:tcW w:w="7513" w:type="dxa"/>
            <w:shd w:val="clear" w:color="auto" w:fill="FFFFFF" w:themeFill="background1"/>
          </w:tcPr>
          <w:p w14:paraId="34F5BF2A"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3A9BC915" w14:textId="77777777" w:rsidTr="00D55FE7">
        <w:trPr>
          <w:trHeight w:val="624"/>
        </w:trPr>
        <w:tc>
          <w:tcPr>
            <w:tcW w:w="2726" w:type="dxa"/>
            <w:vMerge/>
            <w:shd w:val="clear" w:color="auto" w:fill="F2F2F2" w:themeFill="background1" w:themeFillShade="F2"/>
          </w:tcPr>
          <w:p w14:paraId="7D078477"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471C324" w14:textId="024C173C"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(g) </w:t>
            </w:r>
            <w:r w:rsidRPr="00974202">
              <w:rPr>
                <w:rFonts w:ascii="Times" w:hAnsi="Times" w:cs="Times"/>
                <w:sz w:val="20"/>
                <w:szCs w:val="20"/>
              </w:rPr>
              <w:t>il processo di selezione delle sedi di negoziazione, le strategie di esecuzione impiegate, le modalità adottate per analizzare la qualità dell’esecuzione ottenuta e il modo in cui il richiedente monitora e verifica che siano stati ottenuti i migliori risultati possibili per i clienti</w:t>
            </w:r>
            <w:r w:rsidRPr="000F5074">
              <w:rPr>
                <w:rFonts w:ascii="Times" w:hAnsi="Times" w:cs="Times"/>
                <w:sz w:val="20"/>
                <w:szCs w:val="20"/>
              </w:rPr>
              <w:t xml:space="preserve">; </w:t>
            </w:r>
          </w:p>
        </w:tc>
        <w:tc>
          <w:tcPr>
            <w:tcW w:w="7513" w:type="dxa"/>
            <w:shd w:val="clear" w:color="auto" w:fill="FFFFFF" w:themeFill="background1"/>
          </w:tcPr>
          <w:p w14:paraId="3B5803EF"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5C05E612" w14:textId="77777777" w:rsidTr="00D55FE7">
        <w:trPr>
          <w:trHeight w:val="624"/>
        </w:trPr>
        <w:tc>
          <w:tcPr>
            <w:tcW w:w="2726" w:type="dxa"/>
            <w:vMerge/>
            <w:shd w:val="clear" w:color="auto" w:fill="F2F2F2" w:themeFill="background1" w:themeFillShade="F2"/>
          </w:tcPr>
          <w:p w14:paraId="17385028"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6667C501" w14:textId="3C240155"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(h) </w:t>
            </w:r>
            <w:r w:rsidRPr="00974202">
              <w:rPr>
                <w:rFonts w:ascii="Times" w:hAnsi="Times" w:cs="Times"/>
                <w:sz w:val="20"/>
                <w:szCs w:val="20"/>
              </w:rPr>
              <w:t>i dispositivi volti a prevenire l’uso improprio di qualsiasi informazione relativa agli ordini dei clienti da parte dei dipendenti del richiedente</w:t>
            </w:r>
            <w:r>
              <w:rPr>
                <w:rFonts w:ascii="Times" w:hAnsi="Times" w:cs="Times"/>
                <w:sz w:val="20"/>
                <w:szCs w:val="20"/>
              </w:rPr>
              <w:t>;</w:t>
            </w:r>
          </w:p>
        </w:tc>
        <w:tc>
          <w:tcPr>
            <w:tcW w:w="7513" w:type="dxa"/>
            <w:shd w:val="clear" w:color="auto" w:fill="FFFFFF" w:themeFill="background1"/>
          </w:tcPr>
          <w:p w14:paraId="35FD933A"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79EDF363" w14:textId="77777777" w:rsidTr="00D55FE7">
        <w:trPr>
          <w:trHeight w:val="624"/>
        </w:trPr>
        <w:tc>
          <w:tcPr>
            <w:tcW w:w="2726" w:type="dxa"/>
            <w:vMerge/>
            <w:shd w:val="clear" w:color="auto" w:fill="F2F2F2" w:themeFill="background1" w:themeFillShade="F2"/>
          </w:tcPr>
          <w:p w14:paraId="7DDAB317"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4A156CF8" w14:textId="4C53FDFC"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 xml:space="preserve">(i) </w:t>
            </w:r>
            <w:r w:rsidRPr="00974202">
              <w:rPr>
                <w:rFonts w:ascii="Times" w:hAnsi="Times" w:cs="Times"/>
                <w:sz w:val="20"/>
                <w:szCs w:val="20"/>
              </w:rPr>
              <w:t>i dispositivi e le procedure relativi alle modalità con cui il richiedente comunicherà ai clienti informazioni sulla sua strategia di esecuzione degli ordini e notificherà loro eventuali modifiche sostanziali di tale strategia</w:t>
            </w:r>
            <w:r>
              <w:rPr>
                <w:rFonts w:ascii="Times" w:hAnsi="Times" w:cs="Times"/>
                <w:sz w:val="20"/>
                <w:szCs w:val="20"/>
              </w:rPr>
              <w:t xml:space="preserve">; </w:t>
            </w:r>
          </w:p>
        </w:tc>
        <w:tc>
          <w:tcPr>
            <w:tcW w:w="7513" w:type="dxa"/>
            <w:shd w:val="clear" w:color="auto" w:fill="FFFFFF" w:themeFill="background1"/>
          </w:tcPr>
          <w:p w14:paraId="33024A6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54A05070" w14:textId="77777777" w:rsidTr="00D55FE7">
        <w:trPr>
          <w:trHeight w:val="624"/>
        </w:trPr>
        <w:tc>
          <w:tcPr>
            <w:tcW w:w="2726" w:type="dxa"/>
            <w:vMerge/>
            <w:shd w:val="clear" w:color="auto" w:fill="F2F2F2" w:themeFill="background1" w:themeFillShade="F2"/>
          </w:tcPr>
          <w:p w14:paraId="4FDD2DF5"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338F9BA" w14:textId="4D4390CD" w:rsidR="00D55FE7" w:rsidRPr="000F5074" w:rsidRDefault="00D55FE7" w:rsidP="00D55FE7">
            <w:pPr>
              <w:spacing w:after="0" w:line="240" w:lineRule="auto"/>
              <w:jc w:val="both"/>
              <w:rPr>
                <w:rFonts w:ascii="Times" w:hAnsi="Times" w:cs="Times"/>
                <w:sz w:val="20"/>
                <w:szCs w:val="20"/>
              </w:rPr>
            </w:pPr>
            <w:r w:rsidRPr="000F5074">
              <w:rPr>
                <w:rFonts w:ascii="Times" w:hAnsi="Times" w:cs="Times"/>
                <w:sz w:val="20"/>
                <w:szCs w:val="20"/>
              </w:rPr>
              <w:t>(j)</w:t>
            </w:r>
            <w:r>
              <w:rPr>
                <w:rFonts w:ascii="Times" w:hAnsi="Times" w:cs="Times"/>
                <w:sz w:val="20"/>
                <w:szCs w:val="20"/>
              </w:rPr>
              <w:t xml:space="preserve"> </w:t>
            </w:r>
            <w:r w:rsidRPr="00974202">
              <w:rPr>
                <w:rFonts w:ascii="Times" w:hAnsi="Times" w:cs="Times"/>
                <w:sz w:val="20"/>
                <w:szCs w:val="20"/>
              </w:rPr>
              <w:t>le modalità per dimostrare all’autorità competente, su richiesta di quest’ultima, la conformità all’articolo 78 del regolamento (UE) 2023/1114</w:t>
            </w:r>
            <w:r>
              <w:rPr>
                <w:rFonts w:ascii="Times" w:eastAsia="Times New Roman" w:hAnsi="Times" w:cs="Times"/>
                <w:bCs/>
                <w:iCs/>
                <w:sz w:val="20"/>
                <w:szCs w:val="20"/>
                <w:lang w:eastAsia="en-GB"/>
              </w:rPr>
              <w:t>.</w:t>
            </w:r>
            <w:r w:rsidRPr="000F5074">
              <w:rPr>
                <w:rFonts w:ascii="Times" w:eastAsia="Times New Roman" w:hAnsi="Times" w:cs="Times"/>
                <w:bCs/>
                <w:iCs/>
                <w:sz w:val="20"/>
                <w:szCs w:val="20"/>
                <w:lang w:eastAsia="en-GB"/>
              </w:rPr>
              <w:t xml:space="preserve"> </w:t>
            </w:r>
          </w:p>
        </w:tc>
        <w:tc>
          <w:tcPr>
            <w:tcW w:w="7513" w:type="dxa"/>
            <w:shd w:val="clear" w:color="auto" w:fill="FFFFFF" w:themeFill="background1"/>
          </w:tcPr>
          <w:p w14:paraId="6BD139B9" w14:textId="100A4943"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5E92A782" w14:textId="77777777" w:rsidTr="00A745F9">
        <w:trPr>
          <w:trHeight w:val="482"/>
        </w:trPr>
        <w:tc>
          <w:tcPr>
            <w:tcW w:w="14879" w:type="dxa"/>
            <w:gridSpan w:val="3"/>
            <w:shd w:val="clear" w:color="auto" w:fill="2E74B5" w:themeFill="accent1" w:themeFillShade="BF"/>
            <w:vAlign w:val="center"/>
          </w:tcPr>
          <w:p w14:paraId="5F33BAD0" w14:textId="77777777" w:rsidR="00D55FE7" w:rsidRPr="005061C3" w:rsidRDefault="00D55FE7" w:rsidP="00D55FE7">
            <w:pPr>
              <w:pStyle w:val="Paragrafoelenco"/>
              <w:numPr>
                <w:ilvl w:val="0"/>
                <w:numId w:val="30"/>
              </w:numPr>
              <w:spacing w:after="0" w:line="240" w:lineRule="auto"/>
              <w:rPr>
                <w:rFonts w:ascii="Times" w:eastAsia="Times New Roman" w:hAnsi="Times" w:cs="Times"/>
                <w:b/>
                <w:color w:val="FFFFFF" w:themeColor="background1"/>
                <w:lang w:val="it-IT"/>
              </w:rPr>
            </w:pPr>
            <w:r w:rsidRPr="00F030D2">
              <w:rPr>
                <w:rFonts w:ascii="Times" w:eastAsia="Times New Roman" w:hAnsi="Times" w:cs="Times"/>
                <w:b/>
                <w:color w:val="FFFFFF" w:themeColor="background1"/>
                <w:lang w:val="it-IT"/>
              </w:rPr>
              <w:t>PRESTAZIONE DI CONSULENZA SULLE CRIPTO-ATTIVITÀ O DI SERVIZI DI GESTIONE DEL PORTAFOGLIO DI CRIPTO-ATTIVITÀ</w:t>
            </w:r>
          </w:p>
        </w:tc>
      </w:tr>
      <w:tr w:rsidR="00D55FE7" w:rsidRPr="000F5074" w14:paraId="66B0663C" w14:textId="77777777" w:rsidTr="00A745F9">
        <w:trPr>
          <w:trHeight w:val="340"/>
        </w:trPr>
        <w:tc>
          <w:tcPr>
            <w:tcW w:w="14879" w:type="dxa"/>
            <w:gridSpan w:val="3"/>
            <w:shd w:val="clear" w:color="auto" w:fill="8496B0" w:themeFill="text2" w:themeFillTint="99"/>
            <w:vAlign w:val="center"/>
          </w:tcPr>
          <w:p w14:paraId="3B312049" w14:textId="77777777" w:rsidR="00D55FE7" w:rsidRPr="000F5074" w:rsidRDefault="00D55FE7" w:rsidP="00D55FE7">
            <w:pPr>
              <w:spacing w:after="0" w:line="240" w:lineRule="auto"/>
              <w:rPr>
                <w:rFonts w:ascii="Times" w:eastAsia="Times New Roman" w:hAnsi="Times" w:cs="Times"/>
                <w:b/>
                <w:color w:val="FFFFFF" w:themeColor="background1"/>
                <w:sz w:val="20"/>
                <w:szCs w:val="20"/>
                <w:lang w:eastAsia="en-GB"/>
              </w:rPr>
            </w:pPr>
            <w:r w:rsidRPr="000F5074">
              <w:rPr>
                <w:rFonts w:ascii="Times" w:eastAsia="Times New Roman" w:hAnsi="Times" w:cs="Times"/>
                <w:b/>
                <w:color w:val="FFFFFF" w:themeColor="background1"/>
                <w:sz w:val="20"/>
                <w:szCs w:val="20"/>
                <w:lang w:eastAsia="en-GB"/>
              </w:rPr>
              <w:t>Per il prestatore che intende fornire il servizio di consulenza o gestione di portafoglio di cripto-attività</w:t>
            </w:r>
          </w:p>
        </w:tc>
      </w:tr>
      <w:tr w:rsidR="00D55FE7" w:rsidRPr="0080402F" w14:paraId="6F25F43E" w14:textId="77777777" w:rsidTr="00111686">
        <w:trPr>
          <w:trHeight w:val="624"/>
        </w:trPr>
        <w:tc>
          <w:tcPr>
            <w:tcW w:w="7366" w:type="dxa"/>
            <w:gridSpan w:val="2"/>
            <w:shd w:val="clear" w:color="auto" w:fill="F2F2F2" w:themeFill="background1" w:themeFillShade="F2"/>
            <w:vAlign w:val="center"/>
          </w:tcPr>
          <w:p w14:paraId="184F0436" w14:textId="77777777" w:rsidR="00D55FE7" w:rsidRPr="006374E1" w:rsidRDefault="00D55FE7" w:rsidP="00D55FE7">
            <w:pPr>
              <w:spacing w:after="0" w:line="240" w:lineRule="auto"/>
              <w:jc w:val="both"/>
              <w:rPr>
                <w:rFonts w:ascii="Times" w:eastAsia="Times New Roman" w:hAnsi="Times" w:cs="Times"/>
                <w:i/>
                <w:iCs/>
                <w:color w:val="000000" w:themeColor="text1"/>
                <w:sz w:val="20"/>
                <w:szCs w:val="20"/>
                <w:lang w:eastAsia="en-GB"/>
              </w:rPr>
            </w:pPr>
            <w:r w:rsidRPr="00082DE3">
              <w:rPr>
                <w:rFonts w:ascii="Times" w:eastAsia="Times New Roman" w:hAnsi="Times" w:cs="Times"/>
                <w:color w:val="000000" w:themeColor="text1"/>
                <w:sz w:val="20"/>
                <w:szCs w:val="20"/>
                <w:lang w:eastAsia="en-GB"/>
              </w:rPr>
              <w:t xml:space="preserve">Ai </w:t>
            </w:r>
            <w:r>
              <w:rPr>
                <w:rFonts w:ascii="Times" w:eastAsia="Times New Roman" w:hAnsi="Times" w:cs="Times"/>
                <w:color w:val="000000" w:themeColor="text1"/>
                <w:sz w:val="20"/>
                <w:szCs w:val="20"/>
                <w:lang w:eastAsia="en-GB"/>
              </w:rPr>
              <w:t>sensi</w:t>
            </w:r>
            <w:r w:rsidRPr="00082DE3">
              <w:rPr>
                <w:rFonts w:ascii="Times" w:eastAsia="Times New Roman" w:hAnsi="Times" w:cs="Times"/>
                <w:color w:val="000000" w:themeColor="text1"/>
                <w:sz w:val="20"/>
                <w:szCs w:val="20"/>
                <w:lang w:eastAsia="en-GB"/>
              </w:rPr>
              <w:t xml:space="preserve"> dell’articolo 62, paragrafo 2, lettera q), del regolamento (UE) 2023/1114</w:t>
            </w:r>
            <w:r>
              <w:rPr>
                <w:rFonts w:ascii="Times" w:eastAsia="Times New Roman" w:hAnsi="Times" w:cs="Times"/>
                <w:color w:val="000000" w:themeColor="text1"/>
                <w:sz w:val="20"/>
                <w:szCs w:val="20"/>
                <w:lang w:eastAsia="en-GB"/>
              </w:rPr>
              <w:t xml:space="preserve"> e dell’articolo 16 del regolamento delegato (UE) della Commissione 2025/305</w:t>
            </w:r>
            <w:r w:rsidRPr="00082DE3">
              <w:rPr>
                <w:rFonts w:ascii="Times" w:eastAsia="Times New Roman" w:hAnsi="Times" w:cs="Times"/>
                <w:color w:val="000000" w:themeColor="text1"/>
                <w:sz w:val="20"/>
                <w:szCs w:val="20"/>
                <w:lang w:eastAsia="en-GB"/>
              </w:rPr>
              <w:t xml:space="preserve">, i richiedenti </w:t>
            </w:r>
            <w:r w:rsidRPr="00082DE3">
              <w:rPr>
                <w:rFonts w:ascii="Times" w:eastAsia="Times New Roman" w:hAnsi="Times" w:cs="Times"/>
                <w:color w:val="000000" w:themeColor="text1"/>
                <w:sz w:val="20"/>
                <w:szCs w:val="20"/>
                <w:lang w:eastAsia="en-GB"/>
              </w:rPr>
              <w:lastRenderedPageBreak/>
              <w:t>che intendono prestare consulenza sulle cripto-attività o servizi di gestione del portafoglio di cripto-attività forniscono all’autorità competente tutte le informazioni seguenti:</w:t>
            </w:r>
          </w:p>
        </w:tc>
        <w:tc>
          <w:tcPr>
            <w:tcW w:w="7513" w:type="dxa"/>
            <w:shd w:val="clear" w:color="auto" w:fill="F2F2F2" w:themeFill="background1" w:themeFillShade="F2"/>
          </w:tcPr>
          <w:p w14:paraId="2A613B20" w14:textId="77777777" w:rsidR="00D55FE7" w:rsidRPr="00E313C3" w:rsidRDefault="00D55FE7" w:rsidP="00D55FE7">
            <w:pPr>
              <w:jc w:val="both"/>
              <w:rPr>
                <w:rFonts w:ascii="Times" w:hAnsi="Times" w:cs="Times"/>
                <w:i/>
                <w:iCs/>
                <w:color w:val="2E74B5" w:themeColor="accent1" w:themeShade="BF"/>
              </w:rPr>
            </w:pPr>
            <w:r w:rsidRPr="00E313C3">
              <w:rPr>
                <w:rFonts w:ascii="Times" w:hAnsi="Times" w:cs="Times"/>
                <w:i/>
                <w:iCs/>
                <w:color w:val="2E74B5" w:themeColor="accent1" w:themeShade="BF"/>
                <w:sz w:val="20"/>
                <w:szCs w:val="20"/>
              </w:rPr>
              <w:lastRenderedPageBreak/>
              <w:t>Le informazioni di dettaglio potranno essere fornite nell’Allegato 16,</w:t>
            </w:r>
            <w:r w:rsidRPr="00E313C3">
              <w:rPr>
                <w:rFonts w:ascii="Times New Roman" w:eastAsia="Times New Roman" w:hAnsi="Times New Roman" w:cs="Times New Roman"/>
                <w:i/>
                <w:color w:val="2E74B5" w:themeColor="accent1" w:themeShade="BF"/>
                <w:sz w:val="20"/>
                <w:szCs w:val="20"/>
                <w:lang w:eastAsia="en-GB"/>
              </w:rPr>
              <w:t xml:space="preserve"> suddividendole in paragrafi</w:t>
            </w:r>
            <w:r w:rsidRPr="00E313C3">
              <w:rPr>
                <w:rFonts w:ascii="Times" w:hAnsi="Times" w:cs="Times"/>
                <w:i/>
                <w:iCs/>
                <w:color w:val="2E74B5" w:themeColor="accent1" w:themeShade="BF"/>
                <w:sz w:val="20"/>
                <w:szCs w:val="20"/>
              </w:rPr>
              <w:t>.</w:t>
            </w:r>
          </w:p>
        </w:tc>
      </w:tr>
      <w:tr w:rsidR="00D55FE7" w:rsidRPr="008B23C0" w14:paraId="7D7AA282" w14:textId="77777777" w:rsidTr="00D55FE7">
        <w:trPr>
          <w:trHeight w:val="624"/>
        </w:trPr>
        <w:tc>
          <w:tcPr>
            <w:tcW w:w="2726" w:type="dxa"/>
            <w:vMerge w:val="restart"/>
            <w:shd w:val="clear" w:color="auto" w:fill="F2F2F2" w:themeFill="background1" w:themeFillShade="F2"/>
            <w:vAlign w:val="center"/>
          </w:tcPr>
          <w:p w14:paraId="1E17E284" w14:textId="77777777" w:rsidR="00D55FE7" w:rsidRPr="0000724C"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15599C53" w14:textId="77777777" w:rsidR="00D55FE7" w:rsidRPr="000F5074" w:rsidRDefault="00D55FE7" w:rsidP="00D55FE7">
            <w:pPr>
              <w:spacing w:after="0" w:line="240" w:lineRule="auto"/>
              <w:jc w:val="both"/>
              <w:rPr>
                <w:rFonts w:ascii="Times" w:eastAsia="Times New Roman" w:hAnsi="Times" w:cs="Times"/>
                <w:bCs/>
                <w:iCs/>
                <w:sz w:val="20"/>
                <w:szCs w:val="20"/>
                <w:lang w:eastAsia="en-GB"/>
              </w:rPr>
            </w:pPr>
            <w:r w:rsidRPr="000F5074">
              <w:rPr>
                <w:rFonts w:ascii="Times" w:hAnsi="Times" w:cs="Times"/>
                <w:sz w:val="20"/>
                <w:szCs w:val="20"/>
              </w:rPr>
              <w:t xml:space="preserve">(a) </w:t>
            </w:r>
            <w:r w:rsidRPr="00F030D2">
              <w:rPr>
                <w:rFonts w:ascii="Times" w:hAnsi="Times" w:cs="Times"/>
                <w:sz w:val="20"/>
                <w:szCs w:val="20"/>
              </w:rPr>
              <w:t>una descrizione dettagliata delle modalità messe in atto dal richiedente per conformarsi all’articolo 81, paragrafo 7, del regolamento (UE) 2023/1114, compreso quanto segue</w:t>
            </w:r>
            <w:r w:rsidRPr="000F5074">
              <w:rPr>
                <w:rFonts w:ascii="Times" w:eastAsia="Times New Roman" w:hAnsi="Times" w:cs="Times"/>
                <w:bCs/>
                <w:iCs/>
                <w:sz w:val="20"/>
                <w:szCs w:val="20"/>
                <w:lang w:eastAsia="en-GB"/>
              </w:rPr>
              <w:t>:</w:t>
            </w:r>
          </w:p>
          <w:p w14:paraId="29CEE2BD" w14:textId="77777777" w:rsidR="00D55FE7" w:rsidRPr="0080402F" w:rsidRDefault="00D55FE7" w:rsidP="00D55FE7">
            <w:pPr>
              <w:pStyle w:val="Paragrafoelenco"/>
              <w:numPr>
                <w:ilvl w:val="0"/>
                <w:numId w:val="13"/>
              </w:numPr>
              <w:spacing w:after="0" w:line="240" w:lineRule="auto"/>
              <w:contextualSpacing w:val="0"/>
              <w:jc w:val="both"/>
              <w:rPr>
                <w:rFonts w:ascii="Times" w:hAnsi="Times" w:cs="Times"/>
                <w:iCs/>
                <w:lang w:val="it-IT"/>
              </w:rPr>
            </w:pPr>
            <w:r w:rsidRPr="00F030D2">
              <w:rPr>
                <w:rFonts w:ascii="Times" w:hAnsi="Times" w:cs="Times"/>
                <w:iCs/>
                <w:lang w:val="it-IT"/>
              </w:rPr>
              <w:t>i meccanismi per controllare, valutare e mantenere efficacemente le conoscenze e le competenze delle persone fisiche che prestano consulenza sulle cripto-attività o gestiscono portafogli di cripto-attività</w:t>
            </w:r>
            <w:r w:rsidRPr="0080402F">
              <w:rPr>
                <w:rFonts w:ascii="Times" w:hAnsi="Times" w:cs="Times"/>
                <w:iCs/>
                <w:lang w:val="it-IT"/>
              </w:rPr>
              <w:t>;</w:t>
            </w:r>
          </w:p>
          <w:p w14:paraId="00DD2430" w14:textId="77777777" w:rsidR="00D55FE7" w:rsidRPr="007605D9" w:rsidRDefault="00D55FE7" w:rsidP="00D55FE7">
            <w:pPr>
              <w:pStyle w:val="Paragrafoelenco"/>
              <w:numPr>
                <w:ilvl w:val="0"/>
                <w:numId w:val="13"/>
              </w:numPr>
              <w:spacing w:after="0" w:line="240" w:lineRule="auto"/>
              <w:contextualSpacing w:val="0"/>
              <w:jc w:val="both"/>
              <w:rPr>
                <w:rFonts w:ascii="Times" w:hAnsi="Times" w:cs="Times"/>
                <w:iCs/>
                <w:lang w:val="it-IT"/>
              </w:rPr>
            </w:pPr>
            <w:r w:rsidRPr="00F030D2">
              <w:rPr>
                <w:rFonts w:ascii="Times" w:hAnsi="Times" w:cs="Times"/>
                <w:iCs/>
                <w:lang w:val="it-IT"/>
              </w:rPr>
              <w:t>le disposizioni volte a garantire che le persone fisiche coinvolte nella prestazione di consulenza o nella gestione del portafoglio conoscano, comprendano e applichino le politiche e procedure interne del richiedente stabilite per conformarsi al regolamento (UE) 2023/1114, in particolare all’articolo 81, paragrafo 1, di tale regolamento, e alla direttiva (UE) 2015/849</w:t>
            </w:r>
            <w:r w:rsidRPr="0080402F">
              <w:rPr>
                <w:rFonts w:ascii="Times" w:eastAsia="Times New Roman" w:hAnsi="Times" w:cs="Times"/>
                <w:bCs/>
                <w:iCs/>
                <w:lang w:val="it-IT"/>
              </w:rPr>
              <w:t xml:space="preserve">; </w:t>
            </w:r>
          </w:p>
          <w:p w14:paraId="3EC1E967" w14:textId="77777777" w:rsidR="00D55FE7" w:rsidRPr="007605D9" w:rsidRDefault="00D55FE7" w:rsidP="00D55FE7">
            <w:pPr>
              <w:pStyle w:val="Paragrafoelenco"/>
              <w:numPr>
                <w:ilvl w:val="0"/>
                <w:numId w:val="13"/>
              </w:numPr>
              <w:spacing w:after="0" w:line="240" w:lineRule="auto"/>
              <w:contextualSpacing w:val="0"/>
              <w:jc w:val="both"/>
              <w:rPr>
                <w:rFonts w:ascii="Times" w:hAnsi="Times" w:cs="Times"/>
                <w:iCs/>
                <w:lang w:val="it-IT"/>
              </w:rPr>
            </w:pPr>
            <w:r w:rsidRPr="00F030D2">
              <w:rPr>
                <w:rFonts w:ascii="Times" w:hAnsi="Times" w:cs="Times"/>
                <w:iCs/>
                <w:lang w:val="it-IT"/>
              </w:rPr>
              <w:t>l’entità delle risorse umane e finanziarie che il richiedente intende destinare annualmente allo sviluppo professionale e alla formazione del personale che presta consulenza sulle cripto-attività o gestisce il portafoglio di cripto-attività</w:t>
            </w:r>
            <w:r w:rsidRPr="007605D9">
              <w:rPr>
                <w:rFonts w:ascii="Times" w:hAnsi="Times" w:cs="Times"/>
                <w:iCs/>
                <w:lang w:val="it-IT"/>
              </w:rPr>
              <w:t>;</w:t>
            </w:r>
          </w:p>
        </w:tc>
        <w:tc>
          <w:tcPr>
            <w:tcW w:w="7513" w:type="dxa"/>
            <w:shd w:val="clear" w:color="auto" w:fill="FFFFFF" w:themeFill="background1"/>
          </w:tcPr>
          <w:p w14:paraId="70B8D2C4"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8B23C0" w14:paraId="5A8FD88C" w14:textId="77777777" w:rsidTr="00D55FE7">
        <w:trPr>
          <w:trHeight w:val="624"/>
        </w:trPr>
        <w:tc>
          <w:tcPr>
            <w:tcW w:w="2726" w:type="dxa"/>
            <w:vMerge/>
            <w:shd w:val="clear" w:color="auto" w:fill="F2F2F2" w:themeFill="background1" w:themeFillShade="F2"/>
            <w:vAlign w:val="center"/>
          </w:tcPr>
          <w:p w14:paraId="0DF8F2CC" w14:textId="77777777" w:rsidR="00D55FE7" w:rsidRPr="00DB33DE" w:rsidRDefault="00D55FE7"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228726BF" w14:textId="5B1E2C41" w:rsidR="00D55FE7" w:rsidRPr="00105E34" w:rsidRDefault="00D55FE7" w:rsidP="00D55FE7">
            <w:pPr>
              <w:spacing w:after="0" w:line="240" w:lineRule="auto"/>
              <w:jc w:val="both"/>
              <w:rPr>
                <w:rFonts w:ascii="Times" w:hAnsi="Times" w:cs="Times"/>
                <w:iCs/>
                <w:sz w:val="20"/>
                <w:szCs w:val="20"/>
              </w:rPr>
            </w:pPr>
            <w:r w:rsidRPr="00105E34">
              <w:rPr>
                <w:rFonts w:ascii="Times" w:hAnsi="Times" w:cs="Times"/>
                <w:iCs/>
                <w:sz w:val="20"/>
                <w:szCs w:val="20"/>
              </w:rPr>
              <w:t xml:space="preserve">(b) </w:t>
            </w:r>
            <w:r w:rsidRPr="00F030D2">
              <w:rPr>
                <w:rFonts w:ascii="Times" w:hAnsi="Times" w:cs="Times"/>
                <w:iCs/>
                <w:sz w:val="20"/>
                <w:szCs w:val="20"/>
              </w:rPr>
              <w:t>i meccanismi per controllare, valutare e mantenere efficacemente le conoscenze e le competenze delle persone fisiche che prestano consulenza per conto del richiedente, necessarie, secondo i criteri di tale valutazione utilizzati nella legislazione nazionale, per effettuare la valutazione dell’adeguatezza di cui all’articolo 81, paragrafo 1, del regolamento (UE) 2023/1114</w:t>
            </w:r>
            <w:r w:rsidRPr="00105E34">
              <w:rPr>
                <w:rFonts w:ascii="Times" w:eastAsia="Times New Roman" w:hAnsi="Times" w:cs="Times"/>
                <w:bCs/>
                <w:iCs/>
                <w:sz w:val="20"/>
                <w:szCs w:val="20"/>
                <w:lang w:eastAsia="en-GB"/>
              </w:rPr>
              <w:t>.</w:t>
            </w:r>
          </w:p>
        </w:tc>
        <w:tc>
          <w:tcPr>
            <w:tcW w:w="7513" w:type="dxa"/>
            <w:shd w:val="clear" w:color="auto" w:fill="FFFFFF" w:themeFill="background1"/>
          </w:tcPr>
          <w:p w14:paraId="35E62E6D" w14:textId="77777777" w:rsidR="00D55FE7" w:rsidRPr="00F41F42" w:rsidRDefault="00D55FE7" w:rsidP="00D55FE7">
            <w:pPr>
              <w:spacing w:after="0" w:line="240" w:lineRule="auto"/>
              <w:jc w:val="both"/>
              <w:rPr>
                <w:rFonts w:ascii="Times" w:eastAsia="Times New Roman" w:hAnsi="Times" w:cs="Times"/>
                <w:iCs/>
                <w:color w:val="000000" w:themeColor="text1"/>
                <w:sz w:val="20"/>
                <w:szCs w:val="20"/>
                <w:lang w:eastAsia="en-GB"/>
              </w:rPr>
            </w:pPr>
          </w:p>
        </w:tc>
      </w:tr>
      <w:tr w:rsidR="00D55FE7" w:rsidRPr="000F5074" w14:paraId="0D0C1F78" w14:textId="77777777" w:rsidTr="00A745F9">
        <w:trPr>
          <w:trHeight w:val="482"/>
        </w:trPr>
        <w:tc>
          <w:tcPr>
            <w:tcW w:w="14879" w:type="dxa"/>
            <w:gridSpan w:val="3"/>
            <w:shd w:val="clear" w:color="auto" w:fill="2E74B5" w:themeFill="accent1" w:themeFillShade="BF"/>
            <w:vAlign w:val="center"/>
          </w:tcPr>
          <w:p w14:paraId="2E304677" w14:textId="77777777" w:rsidR="00D55FE7" w:rsidRPr="005061C3" w:rsidRDefault="00D55FE7" w:rsidP="00D55FE7">
            <w:pPr>
              <w:pStyle w:val="Paragrafoelenco"/>
              <w:numPr>
                <w:ilvl w:val="0"/>
                <w:numId w:val="30"/>
              </w:numPr>
              <w:spacing w:after="0" w:line="240" w:lineRule="auto"/>
              <w:jc w:val="both"/>
              <w:rPr>
                <w:rFonts w:ascii="Times" w:hAnsi="Times" w:cs="Times"/>
                <w:b/>
                <w:color w:val="FFFFFF" w:themeColor="background1"/>
                <w:lang w:val="it-IT"/>
              </w:rPr>
            </w:pPr>
            <w:r w:rsidRPr="00D456BD">
              <w:rPr>
                <w:rFonts w:ascii="Times" w:hAnsi="Times" w:cs="Times"/>
                <w:b/>
                <w:color w:val="FFFFFF" w:themeColor="background1"/>
                <w:lang w:val="it-IT"/>
              </w:rPr>
              <w:t>SERVIZI DI TRASFERIMENTO</w:t>
            </w:r>
          </w:p>
        </w:tc>
      </w:tr>
      <w:tr w:rsidR="00D55FE7" w:rsidRPr="000F5074" w14:paraId="5908E682" w14:textId="77777777" w:rsidTr="00A745F9">
        <w:trPr>
          <w:trHeight w:val="340"/>
        </w:trPr>
        <w:tc>
          <w:tcPr>
            <w:tcW w:w="14879" w:type="dxa"/>
            <w:gridSpan w:val="3"/>
            <w:shd w:val="clear" w:color="auto" w:fill="8496B0" w:themeFill="text2" w:themeFillTint="99"/>
            <w:vAlign w:val="center"/>
          </w:tcPr>
          <w:p w14:paraId="25200913" w14:textId="77777777" w:rsidR="00D55FE7" w:rsidRPr="000F5074" w:rsidRDefault="00D55FE7" w:rsidP="00D55FE7">
            <w:pPr>
              <w:spacing w:after="0" w:line="240" w:lineRule="auto"/>
              <w:jc w:val="both"/>
              <w:rPr>
                <w:rFonts w:ascii="Times" w:hAnsi="Times" w:cs="Times"/>
                <w:b/>
                <w:color w:val="FFFFFF" w:themeColor="background1"/>
                <w:sz w:val="20"/>
                <w:szCs w:val="20"/>
              </w:rPr>
            </w:pPr>
            <w:r w:rsidRPr="000F5074">
              <w:rPr>
                <w:rFonts w:ascii="Times" w:hAnsi="Times" w:cs="Times"/>
                <w:b/>
                <w:color w:val="FFFFFF" w:themeColor="background1"/>
                <w:sz w:val="20"/>
                <w:szCs w:val="20"/>
              </w:rPr>
              <w:t>Per il prestatore che intende fornire servizi di trasferimento di cripto-attività</w:t>
            </w:r>
          </w:p>
        </w:tc>
      </w:tr>
      <w:tr w:rsidR="00D55FE7" w:rsidRPr="0080402F" w14:paraId="37F073AD" w14:textId="77777777" w:rsidTr="00111686">
        <w:trPr>
          <w:trHeight w:val="624"/>
        </w:trPr>
        <w:tc>
          <w:tcPr>
            <w:tcW w:w="7366" w:type="dxa"/>
            <w:gridSpan w:val="2"/>
            <w:shd w:val="clear" w:color="auto" w:fill="F2F2F2" w:themeFill="background1" w:themeFillShade="F2"/>
            <w:vAlign w:val="center"/>
          </w:tcPr>
          <w:p w14:paraId="457FE371" w14:textId="77777777" w:rsidR="00D55FE7" w:rsidRPr="00DB33DE" w:rsidRDefault="00D55FE7" w:rsidP="00D55FE7">
            <w:pPr>
              <w:spacing w:after="0" w:line="240" w:lineRule="auto"/>
              <w:jc w:val="both"/>
              <w:rPr>
                <w:rFonts w:ascii="Times" w:eastAsia="Times New Roman" w:hAnsi="Times" w:cs="Times"/>
                <w:i/>
                <w:iCs/>
                <w:sz w:val="20"/>
                <w:szCs w:val="20"/>
                <w:lang w:eastAsia="en-GB"/>
              </w:rPr>
            </w:pPr>
            <w:r w:rsidRPr="00082DE3">
              <w:rPr>
                <w:rFonts w:ascii="Times" w:eastAsia="Times New Roman" w:hAnsi="Times" w:cs="Times"/>
                <w:sz w:val="20"/>
                <w:szCs w:val="20"/>
                <w:lang w:eastAsia="en-GB"/>
              </w:rPr>
              <w:t xml:space="preserve">Ai </w:t>
            </w:r>
            <w:r>
              <w:rPr>
                <w:rFonts w:ascii="Times" w:eastAsia="Times New Roman" w:hAnsi="Times" w:cs="Times"/>
                <w:sz w:val="20"/>
                <w:szCs w:val="20"/>
                <w:lang w:eastAsia="en-GB"/>
              </w:rPr>
              <w:t>sensi</w:t>
            </w:r>
            <w:r w:rsidRPr="00082DE3">
              <w:rPr>
                <w:rFonts w:ascii="Times" w:eastAsia="Times New Roman" w:hAnsi="Times" w:cs="Times"/>
                <w:sz w:val="20"/>
                <w:szCs w:val="20"/>
                <w:lang w:eastAsia="en-GB"/>
              </w:rPr>
              <w:t xml:space="preserve"> dell’articolo 62, paragrafo 2, lettera r), del regolamento (UE) 2023/1114</w:t>
            </w:r>
            <w:r>
              <w:rPr>
                <w:rFonts w:ascii="Times" w:eastAsia="Times New Roman" w:hAnsi="Times" w:cs="Times"/>
                <w:sz w:val="20"/>
                <w:szCs w:val="20"/>
                <w:lang w:eastAsia="en-GB"/>
              </w:rPr>
              <w:t xml:space="preserve"> e dell’articolo 17 del regolamento delegato (UE) della Commissione 2025/305</w:t>
            </w:r>
            <w:r w:rsidRPr="00082DE3">
              <w:rPr>
                <w:rFonts w:ascii="Times" w:eastAsia="Times New Roman" w:hAnsi="Times" w:cs="Times"/>
                <w:sz w:val="20"/>
                <w:szCs w:val="20"/>
                <w:lang w:eastAsia="en-GB"/>
              </w:rPr>
              <w:t>, i richiedenti che intendono prestare servizi di trasferimento di cripto-attività per conto di clienti forniscono all’autorità competente tutte le informazioni seguenti</w:t>
            </w:r>
            <w:r>
              <w:rPr>
                <w:rFonts w:ascii="Times" w:eastAsia="Times New Roman" w:hAnsi="Times" w:cs="Times"/>
                <w:bCs/>
                <w:iCs/>
                <w:sz w:val="20"/>
                <w:szCs w:val="20"/>
                <w:lang w:eastAsia="en-GB"/>
              </w:rPr>
              <w:t>:</w:t>
            </w:r>
          </w:p>
        </w:tc>
        <w:tc>
          <w:tcPr>
            <w:tcW w:w="7513" w:type="dxa"/>
            <w:shd w:val="clear" w:color="auto" w:fill="F2F2F2" w:themeFill="background1" w:themeFillShade="F2"/>
          </w:tcPr>
          <w:p w14:paraId="56453433" w14:textId="77777777" w:rsidR="00D55FE7" w:rsidRPr="00E313C3" w:rsidRDefault="00D55FE7" w:rsidP="00D55FE7">
            <w:pPr>
              <w:spacing w:after="0" w:line="240" w:lineRule="auto"/>
              <w:jc w:val="both"/>
              <w:rPr>
                <w:color w:val="2E74B5" w:themeColor="accent1" w:themeShade="BF"/>
              </w:rPr>
            </w:pPr>
            <w:r w:rsidRPr="00E313C3">
              <w:rPr>
                <w:rFonts w:ascii="Times" w:eastAsia="Times New Roman" w:hAnsi="Times" w:cs="Times"/>
                <w:i/>
                <w:iCs/>
                <w:color w:val="2E74B5" w:themeColor="accent1" w:themeShade="BF"/>
                <w:sz w:val="20"/>
                <w:szCs w:val="20"/>
              </w:rPr>
              <w:t>Le informazioni di dettaglio potranno essere fornite nell'Allegato 17,</w:t>
            </w:r>
            <w:r w:rsidRPr="00E313C3">
              <w:rPr>
                <w:rFonts w:ascii="Times New Roman" w:eastAsia="Times New Roman" w:hAnsi="Times New Roman" w:cs="Times New Roman"/>
                <w:i/>
                <w:color w:val="2E74B5" w:themeColor="accent1" w:themeShade="BF"/>
                <w:sz w:val="20"/>
                <w:szCs w:val="20"/>
                <w:lang w:eastAsia="en-GB"/>
              </w:rPr>
              <w:t xml:space="preserve"> suddividendole in paragrafi</w:t>
            </w:r>
            <w:r w:rsidRPr="00E313C3">
              <w:rPr>
                <w:rFonts w:ascii="Times" w:eastAsia="Times New Roman" w:hAnsi="Times" w:cs="Times"/>
                <w:i/>
                <w:iCs/>
                <w:color w:val="2E74B5" w:themeColor="accent1" w:themeShade="BF"/>
                <w:sz w:val="20"/>
                <w:szCs w:val="20"/>
              </w:rPr>
              <w:t>.</w:t>
            </w:r>
          </w:p>
        </w:tc>
      </w:tr>
      <w:tr w:rsidR="00E4149D" w:rsidRPr="008B23C0" w14:paraId="490AC5C1" w14:textId="77777777" w:rsidTr="00E4149D">
        <w:trPr>
          <w:trHeight w:val="624"/>
        </w:trPr>
        <w:tc>
          <w:tcPr>
            <w:tcW w:w="2726" w:type="dxa"/>
            <w:vMerge w:val="restart"/>
            <w:shd w:val="clear" w:color="auto" w:fill="F2F2F2" w:themeFill="background1" w:themeFillShade="F2"/>
            <w:vAlign w:val="center"/>
          </w:tcPr>
          <w:p w14:paraId="1E9283F3" w14:textId="77777777" w:rsidR="00E4149D" w:rsidRPr="0000724C" w:rsidRDefault="00E4149D"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5DCBB6B" w14:textId="77777777" w:rsidR="00E4149D" w:rsidRPr="00DB33DE" w:rsidRDefault="00E4149D" w:rsidP="00D55FE7">
            <w:pPr>
              <w:spacing w:after="0" w:line="240" w:lineRule="auto"/>
              <w:jc w:val="both"/>
              <w:rPr>
                <w:rFonts w:ascii="Times" w:eastAsia="Times New Roman" w:hAnsi="Times" w:cs="Times"/>
                <w:i/>
                <w:iCs/>
                <w:sz w:val="20"/>
                <w:szCs w:val="20"/>
                <w:lang w:eastAsia="en-GB"/>
              </w:rPr>
            </w:pPr>
            <w:r w:rsidRPr="000F5074">
              <w:rPr>
                <w:rFonts w:ascii="Times" w:hAnsi="Times" w:cs="Times"/>
                <w:sz w:val="20"/>
                <w:szCs w:val="20"/>
              </w:rPr>
              <w:t xml:space="preserve">(a) </w:t>
            </w:r>
            <w:r w:rsidRPr="00F030D2">
              <w:rPr>
                <w:rFonts w:ascii="Times" w:hAnsi="Times" w:cs="Times"/>
                <w:sz w:val="20"/>
                <w:szCs w:val="20"/>
              </w:rPr>
              <w:t>informazioni dettagliate sui tipi di cripto-attività per i quali il richiedente intende prestare servizi di trasferimento</w:t>
            </w:r>
            <w:r>
              <w:rPr>
                <w:rFonts w:ascii="Times" w:hAnsi="Times" w:cs="Times"/>
                <w:sz w:val="20"/>
                <w:szCs w:val="20"/>
              </w:rPr>
              <w:t>;</w:t>
            </w:r>
          </w:p>
        </w:tc>
        <w:tc>
          <w:tcPr>
            <w:tcW w:w="7513" w:type="dxa"/>
            <w:shd w:val="clear" w:color="auto" w:fill="FFFFFF" w:themeFill="background1"/>
          </w:tcPr>
          <w:p w14:paraId="300EF647" w14:textId="6C4D0B56" w:rsidR="00E4149D" w:rsidRPr="00F41F42" w:rsidRDefault="00E4149D" w:rsidP="00F41F42">
            <w:pPr>
              <w:spacing w:after="0" w:line="240" w:lineRule="auto"/>
              <w:jc w:val="both"/>
              <w:rPr>
                <w:rFonts w:ascii="Times" w:eastAsia="Times New Roman" w:hAnsi="Times" w:cs="Times"/>
                <w:iCs/>
                <w:color w:val="000000" w:themeColor="text1"/>
                <w:sz w:val="20"/>
                <w:szCs w:val="20"/>
                <w:lang w:eastAsia="en-GB"/>
              </w:rPr>
            </w:pPr>
          </w:p>
        </w:tc>
      </w:tr>
      <w:tr w:rsidR="00E4149D" w:rsidRPr="008B23C0" w14:paraId="1BF2FA9A" w14:textId="77777777" w:rsidTr="00E4149D">
        <w:trPr>
          <w:trHeight w:val="624"/>
        </w:trPr>
        <w:tc>
          <w:tcPr>
            <w:tcW w:w="2726" w:type="dxa"/>
            <w:vMerge/>
            <w:shd w:val="clear" w:color="auto" w:fill="F2F2F2" w:themeFill="background1" w:themeFillShade="F2"/>
            <w:vAlign w:val="center"/>
          </w:tcPr>
          <w:p w14:paraId="4C1BB505" w14:textId="77777777" w:rsidR="00E4149D" w:rsidRPr="00DB33DE" w:rsidRDefault="00E4149D"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5DFC65BE" w14:textId="2CFF5942" w:rsidR="00E4149D" w:rsidRPr="000F5074" w:rsidRDefault="00E4149D" w:rsidP="00D55FE7">
            <w:pPr>
              <w:spacing w:after="0" w:line="240" w:lineRule="auto"/>
              <w:jc w:val="both"/>
              <w:rPr>
                <w:rFonts w:ascii="Times" w:hAnsi="Times" w:cs="Times"/>
                <w:sz w:val="20"/>
                <w:szCs w:val="20"/>
              </w:rPr>
            </w:pPr>
            <w:r w:rsidRPr="000F5074">
              <w:rPr>
                <w:rFonts w:ascii="Times" w:hAnsi="Times" w:cs="Times"/>
                <w:sz w:val="20"/>
                <w:szCs w:val="20"/>
              </w:rPr>
              <w:t xml:space="preserve">(b) </w:t>
            </w:r>
            <w:r w:rsidRPr="00C72BBC">
              <w:rPr>
                <w:rFonts w:ascii="Times" w:hAnsi="Times" w:cs="Times"/>
                <w:sz w:val="20"/>
                <w:szCs w:val="20"/>
              </w:rPr>
              <w:t>una descrizione dettagliata delle modalità messe in atto dal richiedente per conformarsi all’articolo 82 del regolamento (UE) 2023/1114, comprese informazioni dettagliate sui dispositivi del richiedente e sulle risorse umane e TIC impiegate per affrontare i rischi in modo tempestivo, efficiente e completo durante la prestazione di servizi di trasferimento di cripto-attività per conto di clienti, tenendo conto delle potenziali carenze operative e dei rischi di cibersicurezza</w:t>
            </w:r>
            <w:r>
              <w:rPr>
                <w:rFonts w:ascii="Times" w:eastAsia="Times New Roman" w:hAnsi="Times" w:cs="Times"/>
                <w:bCs/>
                <w:iCs/>
                <w:sz w:val="20"/>
                <w:szCs w:val="20"/>
                <w:lang w:eastAsia="en-GB"/>
              </w:rPr>
              <w:t>;</w:t>
            </w:r>
          </w:p>
        </w:tc>
        <w:tc>
          <w:tcPr>
            <w:tcW w:w="7513" w:type="dxa"/>
            <w:shd w:val="clear" w:color="auto" w:fill="FFFFFF" w:themeFill="background1"/>
          </w:tcPr>
          <w:p w14:paraId="36D81D90" w14:textId="77777777" w:rsidR="00E4149D" w:rsidRPr="00F41F42" w:rsidRDefault="00E4149D" w:rsidP="00D55FE7">
            <w:pPr>
              <w:spacing w:after="0" w:line="240" w:lineRule="auto"/>
              <w:jc w:val="both"/>
              <w:rPr>
                <w:rFonts w:ascii="Times" w:eastAsia="Times New Roman" w:hAnsi="Times" w:cs="Times"/>
                <w:iCs/>
                <w:color w:val="000000" w:themeColor="text1"/>
                <w:sz w:val="20"/>
                <w:szCs w:val="20"/>
                <w:lang w:eastAsia="en-GB"/>
              </w:rPr>
            </w:pPr>
          </w:p>
        </w:tc>
      </w:tr>
      <w:tr w:rsidR="00E4149D" w:rsidRPr="008B23C0" w14:paraId="74BCC490" w14:textId="77777777" w:rsidTr="00E4149D">
        <w:trPr>
          <w:trHeight w:val="624"/>
        </w:trPr>
        <w:tc>
          <w:tcPr>
            <w:tcW w:w="2726" w:type="dxa"/>
            <w:vMerge/>
            <w:shd w:val="clear" w:color="auto" w:fill="F2F2F2" w:themeFill="background1" w:themeFillShade="F2"/>
            <w:vAlign w:val="center"/>
          </w:tcPr>
          <w:p w14:paraId="1BD93EDD" w14:textId="77777777" w:rsidR="00E4149D" w:rsidRPr="00DB33DE" w:rsidRDefault="00E4149D"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784D5775" w14:textId="5B0FFD16" w:rsidR="00E4149D" w:rsidRPr="000F5074" w:rsidRDefault="00E4149D" w:rsidP="00D55FE7">
            <w:pPr>
              <w:spacing w:after="0" w:line="240" w:lineRule="auto"/>
              <w:jc w:val="both"/>
              <w:rPr>
                <w:rFonts w:ascii="Times" w:hAnsi="Times" w:cs="Times"/>
                <w:sz w:val="20"/>
                <w:szCs w:val="20"/>
              </w:rPr>
            </w:pPr>
            <w:r w:rsidRPr="000F5074">
              <w:rPr>
                <w:rFonts w:ascii="Times" w:hAnsi="Times" w:cs="Times"/>
                <w:sz w:val="20"/>
                <w:szCs w:val="20"/>
              </w:rPr>
              <w:t xml:space="preserve">(c) </w:t>
            </w:r>
            <w:r w:rsidRPr="00C72BBC">
              <w:rPr>
                <w:rFonts w:ascii="Times" w:hAnsi="Times" w:cs="Times"/>
                <w:sz w:val="20"/>
                <w:szCs w:val="20"/>
              </w:rPr>
              <w:t>se disponibile, una descrizione della polizza assicurativa del richiedente, compresa la copertura assicurativa del pregiudizio alle cripto-attività del cliente che può derivare dai rischi di cibersicurezza</w:t>
            </w:r>
            <w:r>
              <w:rPr>
                <w:rFonts w:ascii="Times" w:hAnsi="Times" w:cs="Times"/>
                <w:sz w:val="20"/>
                <w:szCs w:val="20"/>
              </w:rPr>
              <w:t>;</w:t>
            </w:r>
            <w:r w:rsidRPr="000F5074">
              <w:rPr>
                <w:rFonts w:ascii="Times" w:hAnsi="Times" w:cs="Times"/>
                <w:sz w:val="20"/>
                <w:szCs w:val="20"/>
              </w:rPr>
              <w:t xml:space="preserve"> </w:t>
            </w:r>
          </w:p>
        </w:tc>
        <w:tc>
          <w:tcPr>
            <w:tcW w:w="7513" w:type="dxa"/>
            <w:shd w:val="clear" w:color="auto" w:fill="FFFFFF" w:themeFill="background1"/>
          </w:tcPr>
          <w:p w14:paraId="4A212607" w14:textId="77777777" w:rsidR="00E4149D" w:rsidRPr="00F41F42" w:rsidRDefault="00E4149D" w:rsidP="00D55FE7">
            <w:pPr>
              <w:spacing w:after="0" w:line="240" w:lineRule="auto"/>
              <w:jc w:val="both"/>
              <w:rPr>
                <w:rFonts w:ascii="Times" w:eastAsia="Times New Roman" w:hAnsi="Times" w:cs="Times"/>
                <w:iCs/>
                <w:color w:val="000000" w:themeColor="text1"/>
                <w:sz w:val="20"/>
                <w:szCs w:val="20"/>
                <w:lang w:eastAsia="en-GB"/>
              </w:rPr>
            </w:pPr>
          </w:p>
        </w:tc>
      </w:tr>
      <w:tr w:rsidR="00E4149D" w:rsidRPr="008B23C0" w14:paraId="475B161C" w14:textId="77777777" w:rsidTr="00E4149D">
        <w:trPr>
          <w:trHeight w:val="624"/>
        </w:trPr>
        <w:tc>
          <w:tcPr>
            <w:tcW w:w="2726" w:type="dxa"/>
            <w:vMerge/>
            <w:shd w:val="clear" w:color="auto" w:fill="F2F2F2" w:themeFill="background1" w:themeFillShade="F2"/>
            <w:vAlign w:val="center"/>
          </w:tcPr>
          <w:p w14:paraId="0D6D66FF" w14:textId="77777777" w:rsidR="00E4149D" w:rsidRPr="00DB33DE" w:rsidRDefault="00E4149D" w:rsidP="00D55FE7">
            <w:pPr>
              <w:spacing w:after="0" w:line="240" w:lineRule="auto"/>
              <w:jc w:val="both"/>
              <w:rPr>
                <w:rFonts w:ascii="Times" w:hAnsi="Times" w:cs="Times"/>
                <w:b/>
                <w:bCs/>
                <w:sz w:val="20"/>
                <w:szCs w:val="20"/>
              </w:rPr>
            </w:pPr>
          </w:p>
        </w:tc>
        <w:tc>
          <w:tcPr>
            <w:tcW w:w="4640" w:type="dxa"/>
            <w:shd w:val="clear" w:color="auto" w:fill="F2F2F2" w:themeFill="background1" w:themeFillShade="F2"/>
          </w:tcPr>
          <w:p w14:paraId="3914F45E" w14:textId="0F6D131B" w:rsidR="00E4149D" w:rsidRPr="000F5074" w:rsidRDefault="00E4149D" w:rsidP="00D55FE7">
            <w:pPr>
              <w:spacing w:after="0" w:line="240" w:lineRule="auto"/>
              <w:jc w:val="both"/>
              <w:rPr>
                <w:rFonts w:ascii="Times" w:hAnsi="Times" w:cs="Times"/>
                <w:sz w:val="20"/>
                <w:szCs w:val="20"/>
              </w:rPr>
            </w:pPr>
            <w:r w:rsidRPr="000F5074">
              <w:rPr>
                <w:rFonts w:ascii="Times" w:hAnsi="Times" w:cs="Times"/>
                <w:sz w:val="20"/>
                <w:szCs w:val="20"/>
              </w:rPr>
              <w:t xml:space="preserve">(d) </w:t>
            </w:r>
            <w:r w:rsidRPr="00783C56">
              <w:rPr>
                <w:rFonts w:ascii="Times" w:hAnsi="Times" w:cs="Times"/>
                <w:sz w:val="20"/>
                <w:szCs w:val="20"/>
              </w:rPr>
              <w:t xml:space="preserve">disposizioni volte a garantire che i clienti siano adeguatamente informati in merito alle politiche, procedure e modalità di cui alla lettera </w:t>
            </w:r>
            <w:r>
              <w:rPr>
                <w:rFonts w:ascii="Times" w:hAnsi="Times" w:cs="Times"/>
                <w:sz w:val="20"/>
                <w:szCs w:val="20"/>
              </w:rPr>
              <w:t>(</w:t>
            </w:r>
            <w:r w:rsidRPr="00783C56">
              <w:rPr>
                <w:rFonts w:ascii="Times" w:hAnsi="Times" w:cs="Times"/>
                <w:sz w:val="20"/>
                <w:szCs w:val="20"/>
              </w:rPr>
              <w:t>b)</w:t>
            </w:r>
            <w:r>
              <w:rPr>
                <w:rFonts w:ascii="Times" w:hAnsi="Times" w:cs="Times"/>
                <w:sz w:val="20"/>
                <w:szCs w:val="20"/>
              </w:rPr>
              <w:t>.</w:t>
            </w:r>
          </w:p>
        </w:tc>
        <w:tc>
          <w:tcPr>
            <w:tcW w:w="7513" w:type="dxa"/>
            <w:shd w:val="clear" w:color="auto" w:fill="FFFFFF" w:themeFill="background1"/>
          </w:tcPr>
          <w:p w14:paraId="73EF88AC" w14:textId="77777777" w:rsidR="00E4149D" w:rsidRPr="00F41F42" w:rsidRDefault="00E4149D" w:rsidP="00D55FE7">
            <w:pPr>
              <w:spacing w:after="0" w:line="240" w:lineRule="auto"/>
              <w:jc w:val="both"/>
              <w:rPr>
                <w:rFonts w:ascii="Times" w:eastAsia="Times New Roman" w:hAnsi="Times" w:cs="Times"/>
                <w:iCs/>
                <w:color w:val="000000" w:themeColor="text1"/>
                <w:sz w:val="20"/>
                <w:szCs w:val="20"/>
                <w:lang w:eastAsia="en-GB"/>
              </w:rPr>
            </w:pPr>
          </w:p>
        </w:tc>
      </w:tr>
    </w:tbl>
    <w:p w14:paraId="7F7B3A6F" w14:textId="77777777" w:rsidR="0067403F" w:rsidRDefault="0067403F" w:rsidP="005E00BB">
      <w:pPr>
        <w:rPr>
          <w:rFonts w:ascii="Times New Roman" w:eastAsiaTheme="majorEastAsia" w:hAnsi="Times New Roman" w:cs="Times New Roman"/>
          <w:b/>
          <w:color w:val="2E74B5" w:themeColor="accent1" w:themeShade="BF"/>
          <w:sz w:val="32"/>
          <w:szCs w:val="32"/>
        </w:rPr>
      </w:pPr>
    </w:p>
    <w:p w14:paraId="31FF36BD" w14:textId="77777777" w:rsidR="0067403F" w:rsidRDefault="0067403F" w:rsidP="005E00BB">
      <w:pPr>
        <w:rPr>
          <w:rFonts w:ascii="Times New Roman" w:eastAsiaTheme="majorEastAsia" w:hAnsi="Times New Roman" w:cs="Times New Roman"/>
          <w:b/>
          <w:color w:val="2E74B5" w:themeColor="accent1" w:themeShade="BF"/>
          <w:sz w:val="32"/>
          <w:szCs w:val="32"/>
        </w:rPr>
      </w:pPr>
    </w:p>
    <w:p w14:paraId="0C803ACE" w14:textId="77777777" w:rsidR="0067403F" w:rsidRDefault="0067403F" w:rsidP="005E00BB">
      <w:pPr>
        <w:rPr>
          <w:rFonts w:ascii="Times New Roman" w:eastAsiaTheme="majorEastAsia" w:hAnsi="Times New Roman" w:cs="Times New Roman"/>
          <w:b/>
          <w:color w:val="2E74B5" w:themeColor="accent1" w:themeShade="BF"/>
          <w:sz w:val="32"/>
          <w:szCs w:val="32"/>
        </w:rPr>
      </w:pPr>
    </w:p>
    <w:p w14:paraId="58360F0B" w14:textId="1B5693DA" w:rsidR="00C31257" w:rsidRPr="00DB33DE" w:rsidRDefault="00C31257" w:rsidP="006E1F59"/>
    <w:sectPr w:rsidR="00C31257" w:rsidRPr="00DB33DE" w:rsidSect="005E00BB">
      <w:headerReference w:type="default" r:id="rId11"/>
      <w:footerReference w:type="default" r:id="rId12"/>
      <w:headerReference w:type="first" r:id="rId13"/>
      <w:footerReference w:type="first" r:id="rId14"/>
      <w:pgSz w:w="16840" w:h="11900" w:orient="landscape" w:code="9"/>
      <w:pgMar w:top="720" w:right="720" w:bottom="720" w:left="720" w:header="624"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7575" w14:textId="77777777" w:rsidR="00D21217" w:rsidRDefault="00D21217" w:rsidP="00232697">
      <w:pPr>
        <w:spacing w:after="0" w:line="240" w:lineRule="auto"/>
      </w:pPr>
      <w:r>
        <w:separator/>
      </w:r>
    </w:p>
  </w:endnote>
  <w:endnote w:type="continuationSeparator" w:id="0">
    <w:p w14:paraId="2C411D5F" w14:textId="77777777" w:rsidR="00D21217" w:rsidRDefault="00D21217" w:rsidP="00232697">
      <w:pPr>
        <w:spacing w:after="0" w:line="240" w:lineRule="auto"/>
      </w:pPr>
      <w:r>
        <w:continuationSeparator/>
      </w:r>
    </w:p>
  </w:endnote>
  <w:endnote w:type="continuationNotice" w:id="1">
    <w:p w14:paraId="6AD872BB" w14:textId="77777777" w:rsidR="00D21217" w:rsidRDefault="00D21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98530"/>
      <w:docPartObj>
        <w:docPartGallery w:val="Page Numbers (Bottom of Page)"/>
        <w:docPartUnique/>
      </w:docPartObj>
    </w:sdtPr>
    <w:sdtContent>
      <w:p w14:paraId="3728892C" w14:textId="0D9092BF" w:rsidR="00542637" w:rsidRDefault="00542637">
        <w:pPr>
          <w:pStyle w:val="Pidipagina"/>
          <w:jc w:val="right"/>
        </w:pPr>
        <w:r>
          <w:fldChar w:fldCharType="begin"/>
        </w:r>
        <w:r>
          <w:instrText>PAGE   \* MERGEFORMAT</w:instrText>
        </w:r>
        <w:r>
          <w:fldChar w:fldCharType="separate"/>
        </w:r>
        <w:r w:rsidR="00E17301" w:rsidRPr="00E17301">
          <w:rPr>
            <w:noProof/>
            <w:lang w:val="it-IT"/>
          </w:rPr>
          <w:t>63</w:t>
        </w:r>
        <w:r>
          <w:fldChar w:fldCharType="end"/>
        </w:r>
      </w:p>
    </w:sdtContent>
  </w:sdt>
  <w:p w14:paraId="707EAE99" w14:textId="77777777" w:rsidR="00542637" w:rsidRDefault="005426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7C52" w14:textId="77777777" w:rsidR="00542637" w:rsidRDefault="00542637" w:rsidP="007B04CD">
    <w:pPr>
      <w:pStyle w:val="Pidipagina"/>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Pr>
        <w:noProof/>
      </w:rPr>
      <w:t>1</w:t>
    </w:r>
    <w:r w:rsidRPr="00303CB2">
      <w:rPr>
        <w:noProof/>
      </w:rPr>
      <w:fldChar w:fldCharType="end"/>
    </w:r>
  </w:p>
  <w:p w14:paraId="78F1C619" w14:textId="77777777" w:rsidR="00542637" w:rsidRDefault="005426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B157" w14:textId="77777777" w:rsidR="00D21217" w:rsidRDefault="00D21217" w:rsidP="00232697">
      <w:pPr>
        <w:spacing w:after="0" w:line="240" w:lineRule="auto"/>
      </w:pPr>
      <w:r>
        <w:separator/>
      </w:r>
    </w:p>
  </w:footnote>
  <w:footnote w:type="continuationSeparator" w:id="0">
    <w:p w14:paraId="4B97A8EF" w14:textId="77777777" w:rsidR="00D21217" w:rsidRDefault="00D21217" w:rsidP="00232697">
      <w:pPr>
        <w:spacing w:after="0" w:line="240" w:lineRule="auto"/>
      </w:pPr>
      <w:r>
        <w:continuationSeparator/>
      </w:r>
    </w:p>
  </w:footnote>
  <w:footnote w:type="continuationNotice" w:id="1">
    <w:p w14:paraId="5D1701D8" w14:textId="77777777" w:rsidR="00D21217" w:rsidRDefault="00D21217">
      <w:pPr>
        <w:spacing w:after="0" w:line="240" w:lineRule="auto"/>
      </w:pPr>
    </w:p>
  </w:footnote>
  <w:footnote w:id="2">
    <w:p w14:paraId="50647364" w14:textId="6372E18B" w:rsidR="00D951DE" w:rsidRPr="00E313C3" w:rsidRDefault="00D951DE" w:rsidP="00D951DE">
      <w:pPr>
        <w:pStyle w:val="Testonotaapidipagina"/>
        <w:rPr>
          <w:rFonts w:ascii="Times New Roman" w:hAnsi="Times New Roman"/>
          <w:lang w:val="it-IT"/>
        </w:rPr>
      </w:pPr>
      <w:r w:rsidRPr="00E313C3">
        <w:rPr>
          <w:rStyle w:val="Rimandonotaapidipagina"/>
          <w:rFonts w:ascii="Times New Roman" w:hAnsi="Times New Roman"/>
        </w:rPr>
        <w:footnoteRef/>
      </w:r>
      <w:r w:rsidRPr="00EA14B6">
        <w:rPr>
          <w:rFonts w:ascii="Times New Roman" w:hAnsi="Times New Roman"/>
          <w:lang w:val="it-IT"/>
        </w:rPr>
        <w:t xml:space="preserve"> </w:t>
      </w:r>
      <w:r w:rsidRPr="00E313C3">
        <w:rPr>
          <w:rFonts w:ascii="Times New Roman" w:hAnsi="Times New Roman"/>
          <w:lang w:val="it-IT"/>
        </w:rPr>
        <w:t xml:space="preserve">GU L, 2025/306, 31.3.2025, ELI: </w:t>
      </w:r>
      <w:r w:rsidR="008A7EB0" w:rsidRPr="008A7EB0">
        <w:rPr>
          <w:rFonts w:ascii="Times New Roman" w:hAnsi="Times New Roman"/>
          <w:lang w:val="it-IT"/>
        </w:rPr>
        <w:t>http://data.europa.eu/eli/reg_impl/2025/306/oj</w:t>
      </w:r>
      <w:r w:rsidRPr="00E313C3">
        <w:rPr>
          <w:rFonts w:ascii="Times New Roman" w:hAnsi="Times New Roman"/>
          <w:lang w:val="it-IT"/>
        </w:rPr>
        <w:t>.</w:t>
      </w:r>
    </w:p>
  </w:footnote>
  <w:footnote w:id="3">
    <w:p w14:paraId="38AB9AEC" w14:textId="77777777" w:rsidR="00D951DE" w:rsidRPr="00E313C3" w:rsidRDefault="00D951DE" w:rsidP="00D951DE">
      <w:pPr>
        <w:pStyle w:val="Testonotaapidipagina"/>
        <w:rPr>
          <w:rFonts w:ascii="Times New Roman" w:hAnsi="Times New Roman"/>
          <w:lang w:val="it-IT"/>
        </w:rPr>
      </w:pPr>
      <w:r w:rsidRPr="00E313C3">
        <w:rPr>
          <w:rStyle w:val="Rimandonotaapidipagina"/>
          <w:rFonts w:ascii="Times New Roman" w:hAnsi="Times New Roman"/>
          <w:lang w:val="it-IT"/>
        </w:rPr>
        <w:footnoteRef/>
      </w:r>
      <w:r>
        <w:rPr>
          <w:rFonts w:ascii="Times New Roman" w:hAnsi="Times New Roman"/>
          <w:lang w:val="it-IT"/>
        </w:rPr>
        <w:t xml:space="preserve"> </w:t>
      </w:r>
      <w:r w:rsidRPr="00E313C3">
        <w:rPr>
          <w:rFonts w:ascii="Times New Roman" w:hAnsi="Times New Roman"/>
          <w:lang w:val="it-IT"/>
        </w:rPr>
        <w:t>Direttiva 2013/34/UE del Parlamento europeo e del Consiglio, del 26 giugno 2013, relativa ai bilanci d’esercizio, ai bilanci consolidati e alle relative relazioni di talune tipologie di imprese, recante modifica della direttiva 2006/43/CE del Parlamento europeo e del Consiglio e abrogazione delle direttive 78/660/CEE e 83/349/CEE del Consiglio (GU L 182 del 29.6.2013, pag. 19, ELI: http://data. europa.eu/eli/dir/2013/34/</w:t>
      </w:r>
      <w:proofErr w:type="spellStart"/>
      <w:r w:rsidRPr="00E313C3">
        <w:rPr>
          <w:rFonts w:ascii="Times New Roman" w:hAnsi="Times New Roman"/>
          <w:lang w:val="it-IT"/>
        </w:rPr>
        <w:t>oj</w:t>
      </w:r>
      <w:proofErr w:type="spellEnd"/>
      <w:r w:rsidRPr="00E313C3">
        <w:rPr>
          <w:rFonts w:ascii="Times New Roman" w:hAnsi="Times New Roman"/>
          <w:lang w:val="it-IT"/>
        </w:rPr>
        <w:t>).</w:t>
      </w:r>
    </w:p>
  </w:footnote>
  <w:footnote w:id="4">
    <w:p w14:paraId="6C3F19D0" w14:textId="77777777" w:rsidR="00627407" w:rsidRPr="003A7189" w:rsidRDefault="00627407" w:rsidP="00627407">
      <w:pPr>
        <w:pStyle w:val="Testonotaapidipagina"/>
        <w:rPr>
          <w:rFonts w:ascii="Times New Roman" w:hAnsi="Times New Roman"/>
          <w:lang w:val="it-IT"/>
        </w:rPr>
      </w:pPr>
      <w:r w:rsidRPr="003A7189">
        <w:rPr>
          <w:rStyle w:val="Rimandonotaapidipagina"/>
          <w:rFonts w:ascii="Times New Roman" w:hAnsi="Times New Roman"/>
        </w:rPr>
        <w:footnoteRef/>
      </w:r>
      <w:r w:rsidRPr="006F4B65">
        <w:rPr>
          <w:rFonts w:ascii="Times New Roman" w:hAnsi="Times New Roman"/>
          <w:lang w:val="it-IT"/>
        </w:rPr>
        <w:t xml:space="preserve"> https://www.esma.europa.eu/sites/default/files/2025-01/ESMA75-453128700-1263_Supervisory_Briefing_on_Authorisation_of_CASPs.pdf</w:t>
      </w:r>
    </w:p>
  </w:footnote>
  <w:footnote w:id="5">
    <w:p w14:paraId="33C14BA4" w14:textId="77777777" w:rsidR="00C54B9B" w:rsidRPr="0080544D" w:rsidRDefault="00C54B9B" w:rsidP="00C54B9B">
      <w:pPr>
        <w:pStyle w:val="Testonotaapidipagina"/>
        <w:rPr>
          <w:rFonts w:ascii="Times New Roman" w:hAnsi="Times New Roman"/>
          <w:color w:val="2E74B5" w:themeColor="accent1" w:themeShade="BF"/>
          <w:lang w:val="it-IT"/>
        </w:rPr>
      </w:pPr>
      <w:r w:rsidRPr="005E3D01">
        <w:rPr>
          <w:rStyle w:val="Rimandonotaapidipagina"/>
          <w:rFonts w:ascii="Times New Roman" w:hAnsi="Times New Roman"/>
        </w:rPr>
        <w:footnoteRef/>
      </w:r>
      <w:r w:rsidRPr="005E3D01">
        <w:rPr>
          <w:rFonts w:ascii="Times New Roman" w:hAnsi="Times New Roman"/>
          <w:lang w:val="it-IT"/>
        </w:rPr>
        <w:t xml:space="preserve"> Per la definizione e l’applicazione del criterio del moltiplicatore si vedano </w:t>
      </w:r>
      <w:hyperlink r:id="rId1" w:history="1">
        <w:r w:rsidRPr="005E3D01">
          <w:rPr>
            <w:rStyle w:val="Collegamentoipertestuale"/>
            <w:rFonts w:ascii="Times New Roman" w:hAnsi="Times New Roman"/>
            <w:color w:val="auto"/>
            <w:lang w:val="it-IT"/>
          </w:rPr>
          <w:t>Disposizioni della Banca d'Italia in materia di assetti proprietari di banche e altri intermediari</w:t>
        </w:r>
      </w:hyperlink>
      <w:r w:rsidRPr="005E3D01">
        <w:rPr>
          <w:rFonts w:ascii="Times New Roman" w:hAnsi="Times New Roman"/>
          <w:lang w:val="it-IT"/>
        </w:rPr>
        <w:t>, pag.16.</w:t>
      </w:r>
    </w:p>
  </w:footnote>
  <w:footnote w:id="6">
    <w:p w14:paraId="2FD07F5C" w14:textId="77777777" w:rsidR="00E54B34" w:rsidRPr="00E313C3" w:rsidRDefault="00E54B34" w:rsidP="00D951DE">
      <w:pPr>
        <w:pStyle w:val="Testonotaapidipagina"/>
        <w:jc w:val="both"/>
        <w:rPr>
          <w:rFonts w:ascii="Times New Roman" w:hAnsi="Times New Roman"/>
          <w:lang w:val="it-IT"/>
        </w:rPr>
      </w:pPr>
      <w:r w:rsidRPr="00E313C3">
        <w:rPr>
          <w:rStyle w:val="Rimandonotaapidipagina"/>
          <w:rFonts w:ascii="Times New Roman" w:hAnsi="Times New Roman"/>
          <w:lang w:val="it-IT"/>
        </w:rPr>
        <w:footnoteRef/>
      </w:r>
      <w:r w:rsidRPr="00E313C3">
        <w:rPr>
          <w:rFonts w:ascii="Times New Roman" w:hAnsi="Times New Roman"/>
          <w:lang w:val="it-IT"/>
        </w:rPr>
        <w:t xml:space="preserve"> Regolamento delegato (UE) 2025/414 della Commissione, del 18 dicembre 2024, che integra il regolamento (UE) 2023/1114 del Parlamento europeo e del Consiglio per quanto riguarda le norme tecniche di regolamentazione che specificano il contenuto dettagliato delle informazioni necessarie per effettuare la valutazione di un progetto di acquisizione di una partecipazione qualificata in un prestatore di servizi per le cripto-attività (GU L, 2025/414, 31.3.2025, ELI: http://data.europa.eu/eli/reg_del/2025/414/oj).</w:t>
      </w:r>
    </w:p>
  </w:footnote>
  <w:footnote w:id="7">
    <w:p w14:paraId="6CB2AEBB" w14:textId="77777777" w:rsidR="00E54B34" w:rsidRPr="00E313C3" w:rsidRDefault="00E54B34" w:rsidP="00D951DE">
      <w:pPr>
        <w:pStyle w:val="Testonotaapidipagina"/>
        <w:jc w:val="both"/>
        <w:rPr>
          <w:lang w:val="it-IT"/>
        </w:rPr>
      </w:pPr>
      <w:r w:rsidRPr="00E313C3">
        <w:rPr>
          <w:rStyle w:val="Rimandonotaapidipagina"/>
          <w:rFonts w:ascii="Times New Roman" w:hAnsi="Times New Roman"/>
          <w:lang w:val="it-IT"/>
        </w:rPr>
        <w:footnoteRef/>
      </w:r>
      <w:r w:rsidRPr="00E313C3">
        <w:rPr>
          <w:rFonts w:ascii="Times New Roman" w:hAnsi="Times New Roman"/>
          <w:lang w:val="it-IT"/>
        </w:rPr>
        <w:t xml:space="preserve"> Regolamento (UE) 2022/2554 del Parlamento europeo e del Consiglio, del 14 dicembre 2022, relativo alla resilienza operativa digitale per il settore finanziario e che modifica i regolamenti (CE) n. 1060/2009, (UE) n. 648/2012, (UE) n. 600/2014, (UE) n. 909/2014 e (UE) 2016/1011 (GU L 333 del 27.12.2022, pag. 1, ELI: http://data.europa.eu/eli/reg/2022/2554/oj).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Look w:val="04A0" w:firstRow="1" w:lastRow="0" w:firstColumn="1" w:lastColumn="0" w:noHBand="0" w:noVBand="1"/>
    </w:tblPr>
    <w:tblGrid>
      <w:gridCol w:w="10632"/>
      <w:gridCol w:w="4536"/>
    </w:tblGrid>
    <w:tr w:rsidR="00542637" w14:paraId="31AC69B4" w14:textId="77777777" w:rsidTr="0025319E">
      <w:trPr>
        <w:trHeight w:val="1054"/>
      </w:trPr>
      <w:tc>
        <w:tcPr>
          <w:tcW w:w="10632" w:type="dxa"/>
        </w:tcPr>
        <w:p w14:paraId="00981CB5" w14:textId="347FA11B" w:rsidR="00542637" w:rsidRDefault="00542637" w:rsidP="00D456BD">
          <w:pPr>
            <w:pStyle w:val="Intestazione"/>
            <w:tabs>
              <w:tab w:val="clear" w:pos="9026"/>
              <w:tab w:val="left" w:pos="4513"/>
            </w:tabs>
            <w:spacing w:after="80"/>
          </w:pPr>
          <w:r>
            <w:rPr>
              <w:rFonts w:ascii="Garamond" w:hAnsi="Garamond"/>
              <w:noProof/>
              <w:color w:val="4BACC6"/>
              <w:lang w:val="it-IT" w:eastAsia="it-IT"/>
            </w:rPr>
            <w:tab/>
          </w:r>
        </w:p>
      </w:tc>
      <w:tc>
        <w:tcPr>
          <w:tcW w:w="4536" w:type="dxa"/>
        </w:tcPr>
        <w:p w14:paraId="0C54F0F4" w14:textId="168BBE1A" w:rsidR="00542637" w:rsidRDefault="001A41C2" w:rsidP="001A41C2">
          <w:pPr>
            <w:pStyle w:val="Intestazione"/>
            <w:spacing w:after="80"/>
          </w:pPr>
          <w:r>
            <w:rPr>
              <w:noProof/>
              <w:lang w:eastAsia="it-IT"/>
            </w:rPr>
            <w:drawing>
              <wp:anchor distT="0" distB="0" distL="114300" distR="114300" simplePos="0" relativeHeight="251640832" behindDoc="0" locked="0" layoutInCell="1" allowOverlap="1" wp14:anchorId="46E50C1D" wp14:editId="08A4B236">
                <wp:simplePos x="0" y="0"/>
                <wp:positionH relativeFrom="column">
                  <wp:posOffset>303530</wp:posOffset>
                </wp:positionH>
                <wp:positionV relativeFrom="paragraph">
                  <wp:posOffset>128270</wp:posOffset>
                </wp:positionV>
                <wp:extent cx="2292985" cy="539750"/>
                <wp:effectExtent l="0" t="0" r="0" b="0"/>
                <wp:wrapNone/>
                <wp:docPr id="1530882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2985" cy="53975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r>
  </w:tbl>
  <w:p w14:paraId="2361BD99" w14:textId="13285BC7" w:rsidR="001A41C2" w:rsidRDefault="001A41C2" w:rsidP="001A41C2">
    <w:r w:rsidRPr="00F54702">
      <w:rPr>
        <w:rFonts w:ascii="Times New Roman" w:eastAsia="Times New Roman" w:hAnsi="Times New Roman"/>
        <w:noProof/>
        <w:sz w:val="24"/>
        <w:szCs w:val="24"/>
        <w:lang w:eastAsia="it-IT"/>
      </w:rPr>
      <w:drawing>
        <wp:anchor distT="0" distB="0" distL="114300" distR="114300" simplePos="0" relativeHeight="251684864" behindDoc="0" locked="0" layoutInCell="1" allowOverlap="1" wp14:anchorId="73F31547" wp14:editId="645923D0">
          <wp:simplePos x="0" y="0"/>
          <wp:positionH relativeFrom="column">
            <wp:posOffset>22225</wp:posOffset>
          </wp:positionH>
          <wp:positionV relativeFrom="paragraph">
            <wp:posOffset>-788035</wp:posOffset>
          </wp:positionV>
          <wp:extent cx="1638000" cy="990000"/>
          <wp:effectExtent l="0" t="0" r="635" b="635"/>
          <wp:wrapNone/>
          <wp:docPr id="208410415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04154" name="Immagin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38000" cy="99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50E1" w14:textId="385023EF" w:rsidR="00542637" w:rsidRDefault="00542637" w:rsidP="00A0382C">
    <w:pPr>
      <w:pStyle w:val="Intestazione"/>
      <w:spacing w:after="120"/>
      <w:jc w:val="center"/>
    </w:pPr>
  </w:p>
  <w:p w14:paraId="065BA80D" w14:textId="77777777" w:rsidR="00542637" w:rsidRDefault="005426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ACF"/>
    <w:multiLevelType w:val="hybridMultilevel"/>
    <w:tmpl w:val="42DA2F8E"/>
    <w:lvl w:ilvl="0" w:tplc="D44ACAC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E09"/>
    <w:multiLevelType w:val="hybridMultilevel"/>
    <w:tmpl w:val="3D5A2AB6"/>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6AE01BC"/>
    <w:multiLevelType w:val="hybridMultilevel"/>
    <w:tmpl w:val="06C8A53E"/>
    <w:lvl w:ilvl="0" w:tplc="041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842F6"/>
    <w:multiLevelType w:val="hybridMultilevel"/>
    <w:tmpl w:val="D7B03520"/>
    <w:lvl w:ilvl="0" w:tplc="712657F8">
      <w:start w:val="1"/>
      <w:numFmt w:val="bullet"/>
      <w:pStyle w:val="ElencopuntatoBankittabellamoduloCASP"/>
      <w:lvlText w:val="-"/>
      <w:lvlJc w:val="left"/>
      <w:pPr>
        <w:ind w:left="720" w:hanging="360"/>
      </w:pPr>
      <w:rPr>
        <w:rFonts w:ascii="Times New Roman" w:eastAsiaTheme="minorHAnsi" w:hAnsi="Times New Roman" w:cs="Times New Roman" w:hint="default"/>
        <w:color w:val="2E74B5" w:themeColor="accent1" w:themeShade="BF"/>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3A1586"/>
    <w:multiLevelType w:val="hybridMultilevel"/>
    <w:tmpl w:val="D6E0FF6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9C312F"/>
    <w:multiLevelType w:val="hybridMultilevel"/>
    <w:tmpl w:val="0CC67E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F13DD9"/>
    <w:multiLevelType w:val="hybridMultilevel"/>
    <w:tmpl w:val="B9B88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CD13AE"/>
    <w:multiLevelType w:val="hybridMultilevel"/>
    <w:tmpl w:val="1DD24B70"/>
    <w:lvl w:ilvl="0" w:tplc="2DA2FE4C">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838AB884">
      <w:start w:val="1"/>
      <w:numFmt w:val="lowerRoman"/>
      <w:lvlText w:val="(%3)"/>
      <w:lvlJc w:val="left"/>
      <w:pPr>
        <w:ind w:left="2520" w:hanging="72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D14422"/>
    <w:multiLevelType w:val="hybridMultilevel"/>
    <w:tmpl w:val="264EE37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A91BB6"/>
    <w:multiLevelType w:val="hybridMultilevel"/>
    <w:tmpl w:val="BD38B848"/>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7E7186"/>
    <w:multiLevelType w:val="hybridMultilevel"/>
    <w:tmpl w:val="68D296C8"/>
    <w:lvl w:ilvl="0" w:tplc="0410000F">
      <w:start w:val="1"/>
      <w:numFmt w:val="decimal"/>
      <w:lvlText w:val="%1."/>
      <w:lvlJc w:val="left"/>
      <w:pPr>
        <w:ind w:left="611" w:hanging="360"/>
      </w:pPr>
    </w:lvl>
    <w:lvl w:ilvl="1" w:tplc="FFFFFFFF">
      <w:start w:val="1"/>
      <w:numFmt w:val="lowerLetter"/>
      <w:lvlText w:val="%2."/>
      <w:lvlJc w:val="left"/>
      <w:pPr>
        <w:ind w:left="1331" w:hanging="360"/>
      </w:pPr>
    </w:lvl>
    <w:lvl w:ilvl="2" w:tplc="FFFFFFFF">
      <w:start w:val="1"/>
      <w:numFmt w:val="lowerRoman"/>
      <w:lvlText w:val="%3."/>
      <w:lvlJc w:val="right"/>
      <w:pPr>
        <w:ind w:left="2051" w:hanging="180"/>
      </w:pPr>
    </w:lvl>
    <w:lvl w:ilvl="3" w:tplc="FFFFFFFF">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11" w15:restartNumberingAfterBreak="0">
    <w:nsid w:val="1C517F32"/>
    <w:multiLevelType w:val="hybridMultilevel"/>
    <w:tmpl w:val="FB3E053C"/>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8D3E26"/>
    <w:multiLevelType w:val="hybridMultilevel"/>
    <w:tmpl w:val="F632A028"/>
    <w:lvl w:ilvl="0" w:tplc="2DA2FE4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E579FB"/>
    <w:multiLevelType w:val="hybridMultilevel"/>
    <w:tmpl w:val="46EAF70A"/>
    <w:lvl w:ilvl="0" w:tplc="2B7CBCFA">
      <w:start w:val="1"/>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0243E9F"/>
    <w:multiLevelType w:val="hybridMultilevel"/>
    <w:tmpl w:val="5692979A"/>
    <w:lvl w:ilvl="0" w:tplc="D44ACAC4">
      <w:start w:val="1"/>
      <w:numFmt w:val="decimal"/>
      <w:lvlText w:val="%1."/>
      <w:lvlJc w:val="left"/>
      <w:pPr>
        <w:ind w:left="720" w:hanging="360"/>
      </w:pPr>
      <w:rPr>
        <w:rFonts w:hint="default"/>
        <w:sz w:val="22"/>
      </w:rPr>
    </w:lvl>
    <w:lvl w:ilvl="1" w:tplc="A5901858">
      <w:start w:val="1"/>
      <w:numFmt w:val="lowerRoman"/>
      <w:lvlText w:val="(%2)"/>
      <w:lvlJc w:val="left"/>
      <w:pPr>
        <w:ind w:left="1800" w:hanging="720"/>
      </w:pPr>
      <w:rPr>
        <w:rFonts w:hint="default"/>
      </w:rPr>
    </w:lvl>
    <w:lvl w:ilvl="2" w:tplc="2B7CBCFA">
      <w:start w:val="1"/>
      <w:numFmt w:val="bullet"/>
      <w:lvlText w:val="-"/>
      <w:lvlJc w:val="left"/>
      <w:pPr>
        <w:ind w:left="2160"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5941B8"/>
    <w:multiLevelType w:val="hybridMultilevel"/>
    <w:tmpl w:val="EA78A7B0"/>
    <w:lvl w:ilvl="0" w:tplc="9C588B62">
      <w:start w:val="1"/>
      <w:numFmt w:val="bullet"/>
      <w:lvlText w:val=""/>
      <w:lvlJc w:val="left"/>
      <w:pPr>
        <w:ind w:left="1080" w:hanging="360"/>
      </w:pPr>
      <w:rPr>
        <w:rFonts w:ascii="Symbol" w:hAnsi="Symbol"/>
      </w:rPr>
    </w:lvl>
    <w:lvl w:ilvl="1" w:tplc="BEF66282">
      <w:start w:val="1"/>
      <w:numFmt w:val="bullet"/>
      <w:lvlText w:val=""/>
      <w:lvlJc w:val="left"/>
      <w:pPr>
        <w:ind w:left="1080" w:hanging="360"/>
      </w:pPr>
      <w:rPr>
        <w:rFonts w:ascii="Symbol" w:hAnsi="Symbol"/>
      </w:rPr>
    </w:lvl>
    <w:lvl w:ilvl="2" w:tplc="AEBC0572">
      <w:start w:val="1"/>
      <w:numFmt w:val="bullet"/>
      <w:lvlText w:val=""/>
      <w:lvlJc w:val="left"/>
      <w:pPr>
        <w:ind w:left="1080" w:hanging="360"/>
      </w:pPr>
      <w:rPr>
        <w:rFonts w:ascii="Symbol" w:hAnsi="Symbol"/>
      </w:rPr>
    </w:lvl>
    <w:lvl w:ilvl="3" w:tplc="23D408DC">
      <w:start w:val="1"/>
      <w:numFmt w:val="bullet"/>
      <w:lvlText w:val=""/>
      <w:lvlJc w:val="left"/>
      <w:pPr>
        <w:ind w:left="1080" w:hanging="360"/>
      </w:pPr>
      <w:rPr>
        <w:rFonts w:ascii="Symbol" w:hAnsi="Symbol"/>
      </w:rPr>
    </w:lvl>
    <w:lvl w:ilvl="4" w:tplc="332A641E">
      <w:start w:val="1"/>
      <w:numFmt w:val="bullet"/>
      <w:lvlText w:val=""/>
      <w:lvlJc w:val="left"/>
      <w:pPr>
        <w:ind w:left="1080" w:hanging="360"/>
      </w:pPr>
      <w:rPr>
        <w:rFonts w:ascii="Symbol" w:hAnsi="Symbol"/>
      </w:rPr>
    </w:lvl>
    <w:lvl w:ilvl="5" w:tplc="65EA1B38">
      <w:start w:val="1"/>
      <w:numFmt w:val="bullet"/>
      <w:lvlText w:val=""/>
      <w:lvlJc w:val="left"/>
      <w:pPr>
        <w:ind w:left="1080" w:hanging="360"/>
      </w:pPr>
      <w:rPr>
        <w:rFonts w:ascii="Symbol" w:hAnsi="Symbol"/>
      </w:rPr>
    </w:lvl>
    <w:lvl w:ilvl="6" w:tplc="B13A774E">
      <w:start w:val="1"/>
      <w:numFmt w:val="bullet"/>
      <w:lvlText w:val=""/>
      <w:lvlJc w:val="left"/>
      <w:pPr>
        <w:ind w:left="1080" w:hanging="360"/>
      </w:pPr>
      <w:rPr>
        <w:rFonts w:ascii="Symbol" w:hAnsi="Symbol"/>
      </w:rPr>
    </w:lvl>
    <w:lvl w:ilvl="7" w:tplc="5D7A96C6">
      <w:start w:val="1"/>
      <w:numFmt w:val="bullet"/>
      <w:lvlText w:val=""/>
      <w:lvlJc w:val="left"/>
      <w:pPr>
        <w:ind w:left="1080" w:hanging="360"/>
      </w:pPr>
      <w:rPr>
        <w:rFonts w:ascii="Symbol" w:hAnsi="Symbol"/>
      </w:rPr>
    </w:lvl>
    <w:lvl w:ilvl="8" w:tplc="CDA252FE">
      <w:start w:val="1"/>
      <w:numFmt w:val="bullet"/>
      <w:lvlText w:val=""/>
      <w:lvlJc w:val="left"/>
      <w:pPr>
        <w:ind w:left="1080" w:hanging="360"/>
      </w:pPr>
      <w:rPr>
        <w:rFonts w:ascii="Symbol" w:hAnsi="Symbol"/>
      </w:rPr>
    </w:lvl>
  </w:abstractNum>
  <w:abstractNum w:abstractNumId="16" w15:restartNumberingAfterBreak="0">
    <w:nsid w:val="2F674C67"/>
    <w:multiLevelType w:val="hybridMultilevel"/>
    <w:tmpl w:val="061CC67C"/>
    <w:lvl w:ilvl="0" w:tplc="AD2E67FA">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252E61"/>
    <w:multiLevelType w:val="hybridMultilevel"/>
    <w:tmpl w:val="6B88D844"/>
    <w:lvl w:ilvl="0" w:tplc="04100003">
      <w:start w:val="1"/>
      <w:numFmt w:val="bullet"/>
      <w:lvlText w:val="o"/>
      <w:lvlJc w:val="left"/>
      <w:pPr>
        <w:ind w:left="720" w:hanging="360"/>
      </w:pPr>
      <w:rPr>
        <w:rFonts w:ascii="Courier New" w:hAnsi="Courier New" w:cs="Courier New" w:hint="default"/>
        <w:color w:val="2E74B5"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F42A1D"/>
    <w:multiLevelType w:val="hybridMultilevel"/>
    <w:tmpl w:val="B554DC5E"/>
    <w:lvl w:ilvl="0" w:tplc="FFFFFFFF">
      <w:start w:val="1"/>
      <w:numFmt w:val="lowerRoman"/>
      <w:lvlText w:val="%1."/>
      <w:lvlJc w:val="right"/>
      <w:pPr>
        <w:ind w:left="720" w:hanging="360"/>
      </w:pPr>
      <w:rPr>
        <w:rFonts w:hint="default"/>
      </w:rPr>
    </w:lvl>
    <w:lvl w:ilvl="1" w:tplc="D44ACAC4">
      <w:start w:val="1"/>
      <w:numFmt w:val="decimal"/>
      <w:lvlText w:val="%2."/>
      <w:lvlJc w:val="left"/>
      <w:pPr>
        <w:ind w:left="720" w:hanging="360"/>
      </w:pPr>
      <w:rPr>
        <w:rFonts w:hint="default"/>
        <w:sz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8710FA"/>
    <w:multiLevelType w:val="hybridMultilevel"/>
    <w:tmpl w:val="0AA0160A"/>
    <w:lvl w:ilvl="0" w:tplc="A5901858">
      <w:start w:val="1"/>
      <w:numFmt w:val="lowerRoman"/>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884425"/>
    <w:multiLevelType w:val="multilevel"/>
    <w:tmpl w:val="AEB61D42"/>
    <w:lvl w:ilvl="0">
      <w:start w:val="4"/>
      <w:numFmt w:val="decimal"/>
      <w:lvlText w:val="%1."/>
      <w:lvlJc w:val="left"/>
      <w:pPr>
        <w:ind w:left="611" w:hanging="360"/>
      </w:pPr>
      <w:rPr>
        <w:rFonts w:hint="default"/>
        <w:b/>
        <w:bCs/>
        <w:color w:val="FFFFFF" w:themeColor="background1"/>
      </w:rPr>
    </w:lvl>
    <w:lvl w:ilvl="1">
      <w:start w:val="1"/>
      <w:numFmt w:val="decimal"/>
      <w:isLgl/>
      <w:lvlText w:val="%1.%2."/>
      <w:lvlJc w:val="left"/>
      <w:pPr>
        <w:ind w:left="971"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771" w:hanging="1080"/>
      </w:pPr>
      <w:rPr>
        <w:rFonts w:hint="default"/>
      </w:rPr>
    </w:lvl>
    <w:lvl w:ilvl="5">
      <w:start w:val="1"/>
      <w:numFmt w:val="decimal"/>
      <w:isLgl/>
      <w:lvlText w:val="%1.%2.%3.%4.%5.%6."/>
      <w:lvlJc w:val="left"/>
      <w:pPr>
        <w:ind w:left="3131" w:hanging="1080"/>
      </w:pPr>
      <w:rPr>
        <w:rFonts w:hint="default"/>
      </w:rPr>
    </w:lvl>
    <w:lvl w:ilvl="6">
      <w:start w:val="1"/>
      <w:numFmt w:val="decimal"/>
      <w:isLgl/>
      <w:lvlText w:val="%1.%2.%3.%4.%5.%6.%7."/>
      <w:lvlJc w:val="left"/>
      <w:pPr>
        <w:ind w:left="3491" w:hanging="1080"/>
      </w:pPr>
      <w:rPr>
        <w:rFonts w:hint="default"/>
      </w:rPr>
    </w:lvl>
    <w:lvl w:ilvl="7">
      <w:start w:val="1"/>
      <w:numFmt w:val="decimal"/>
      <w:isLgl/>
      <w:lvlText w:val="%1.%2.%3.%4.%5.%6.%7.%8."/>
      <w:lvlJc w:val="left"/>
      <w:pPr>
        <w:ind w:left="4211" w:hanging="1440"/>
      </w:pPr>
      <w:rPr>
        <w:rFonts w:hint="default"/>
      </w:rPr>
    </w:lvl>
    <w:lvl w:ilvl="8">
      <w:start w:val="1"/>
      <w:numFmt w:val="decimal"/>
      <w:isLgl/>
      <w:lvlText w:val="%1.%2.%3.%4.%5.%6.%7.%8.%9."/>
      <w:lvlJc w:val="left"/>
      <w:pPr>
        <w:ind w:left="4571" w:hanging="1440"/>
      </w:pPr>
      <w:rPr>
        <w:rFonts w:hint="default"/>
      </w:rPr>
    </w:lvl>
  </w:abstractNum>
  <w:abstractNum w:abstractNumId="21" w15:restartNumberingAfterBreak="0">
    <w:nsid w:val="37642869"/>
    <w:multiLevelType w:val="hybridMultilevel"/>
    <w:tmpl w:val="4D60CAFA"/>
    <w:lvl w:ilvl="0" w:tplc="2DA2FE4C">
      <w:start w:val="1"/>
      <w:numFmt w:val="lowerRoman"/>
      <w:lvlText w:val="%1."/>
      <w:lvlJc w:val="left"/>
      <w:pPr>
        <w:ind w:left="1080" w:hanging="720"/>
      </w:pPr>
      <w:rPr>
        <w:rFonts w:hint="default"/>
      </w:r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5A01A9"/>
    <w:multiLevelType w:val="hybridMultilevel"/>
    <w:tmpl w:val="9D4E272A"/>
    <w:lvl w:ilvl="0" w:tplc="2DA2FE4C">
      <w:start w:val="1"/>
      <w:numFmt w:val="lowerRoman"/>
      <w:lvlText w:val="%1."/>
      <w:lvlJc w:val="left"/>
      <w:pPr>
        <w:ind w:left="720" w:hanging="360"/>
      </w:pPr>
      <w:rPr>
        <w:rFonts w:hint="default"/>
      </w:rPr>
    </w:lvl>
    <w:lvl w:ilvl="1" w:tplc="F0BC2614">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FE194E"/>
    <w:multiLevelType w:val="hybridMultilevel"/>
    <w:tmpl w:val="B2304942"/>
    <w:lvl w:ilvl="0" w:tplc="187ED86E">
      <w:numFmt w:val="bullet"/>
      <w:lvlText w:val="-"/>
      <w:lvlJc w:val="left"/>
      <w:pPr>
        <w:ind w:left="360" w:hanging="360"/>
      </w:pPr>
      <w:rPr>
        <w:rFonts w:ascii="Times New Roman" w:eastAsia="MS Mincho"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4B45D0E"/>
    <w:multiLevelType w:val="hybridMultilevel"/>
    <w:tmpl w:val="72FCBF52"/>
    <w:lvl w:ilvl="0" w:tplc="C2527BD8">
      <w:start w:val="1"/>
      <w:numFmt w:val="bullet"/>
      <w:lvlText w:val="-"/>
      <w:lvlJc w:val="left"/>
      <w:pPr>
        <w:ind w:left="360" w:hanging="360"/>
      </w:pPr>
      <w:rPr>
        <w:rFonts w:ascii="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22392B"/>
    <w:multiLevelType w:val="hybridMultilevel"/>
    <w:tmpl w:val="520C1C26"/>
    <w:lvl w:ilvl="0" w:tplc="FFFFFFFF">
      <w:start w:val="1"/>
      <w:numFmt w:val="lowerLetter"/>
      <w:lvlText w:val="%1)"/>
      <w:lvlJc w:val="left"/>
      <w:pPr>
        <w:ind w:left="720" w:hanging="360"/>
      </w:pPr>
    </w:lvl>
    <w:lvl w:ilvl="1" w:tplc="2DA2FE4C">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27B0FBC4">
      <w:start w:val="4"/>
      <w:numFmt w:val="bullet"/>
      <w:lvlText w:val=""/>
      <w:lvlJc w:val="left"/>
      <w:pPr>
        <w:ind w:left="2880" w:hanging="360"/>
      </w:pPr>
      <w:rPr>
        <w:rFonts w:ascii="Wingdings" w:eastAsia="Times New Roman" w:hAnsi="Wingdings" w:cs="Time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560399"/>
    <w:multiLevelType w:val="multilevel"/>
    <w:tmpl w:val="EE6C3F22"/>
    <w:lvl w:ilvl="0">
      <w:start w:val="2"/>
      <w:numFmt w:val="decimal"/>
      <w:lvlText w:val="%1."/>
      <w:lvlJc w:val="left"/>
      <w:pPr>
        <w:ind w:left="720" w:hanging="360"/>
      </w:pPr>
      <w:rPr>
        <w:rFonts w:hint="default"/>
        <w:color w:val="FFFFFF" w:themeColor="background1"/>
      </w:rPr>
    </w:lvl>
    <w:lvl w:ilvl="1">
      <w:start w:val="1"/>
      <w:numFmt w:val="decimal"/>
      <w:isLgl/>
      <w:lvlText w:val="%1.%2."/>
      <w:lvlJc w:val="left"/>
      <w:pPr>
        <w:ind w:left="720" w:hanging="360"/>
      </w:pPr>
      <w:rPr>
        <w:rFonts w:eastAsiaTheme="minorHAnsi" w:hint="default"/>
        <w:b/>
        <w:color w:val="FFFFFF" w:themeColor="background1"/>
      </w:rPr>
    </w:lvl>
    <w:lvl w:ilvl="2">
      <w:start w:val="1"/>
      <w:numFmt w:val="decimal"/>
      <w:isLgl/>
      <w:lvlText w:val="%1.%2.%3."/>
      <w:lvlJc w:val="left"/>
      <w:pPr>
        <w:ind w:left="1080" w:hanging="720"/>
      </w:pPr>
      <w:rPr>
        <w:rFonts w:eastAsiaTheme="minorHAnsi" w:hint="default"/>
        <w:b/>
        <w:color w:val="FFFFFF" w:themeColor="background1"/>
      </w:rPr>
    </w:lvl>
    <w:lvl w:ilvl="3">
      <w:start w:val="1"/>
      <w:numFmt w:val="decimal"/>
      <w:isLgl/>
      <w:lvlText w:val="%1.%2.%3.%4."/>
      <w:lvlJc w:val="left"/>
      <w:pPr>
        <w:ind w:left="1080" w:hanging="720"/>
      </w:pPr>
      <w:rPr>
        <w:rFonts w:eastAsiaTheme="minorHAnsi" w:hint="default"/>
        <w:b/>
        <w:color w:val="FFFFFF" w:themeColor="background1"/>
      </w:rPr>
    </w:lvl>
    <w:lvl w:ilvl="4">
      <w:start w:val="1"/>
      <w:numFmt w:val="decimal"/>
      <w:isLgl/>
      <w:lvlText w:val="%1.%2.%3.%4.%5."/>
      <w:lvlJc w:val="left"/>
      <w:pPr>
        <w:ind w:left="1440" w:hanging="1080"/>
      </w:pPr>
      <w:rPr>
        <w:rFonts w:eastAsiaTheme="minorHAnsi" w:hint="default"/>
        <w:b/>
        <w:color w:val="FFFFFF" w:themeColor="background1"/>
      </w:rPr>
    </w:lvl>
    <w:lvl w:ilvl="5">
      <w:start w:val="1"/>
      <w:numFmt w:val="decimal"/>
      <w:isLgl/>
      <w:lvlText w:val="%1.%2.%3.%4.%5.%6."/>
      <w:lvlJc w:val="left"/>
      <w:pPr>
        <w:ind w:left="1440" w:hanging="1080"/>
      </w:pPr>
      <w:rPr>
        <w:rFonts w:eastAsiaTheme="minorHAnsi" w:hint="default"/>
        <w:b/>
        <w:color w:val="FFFFFF" w:themeColor="background1"/>
      </w:rPr>
    </w:lvl>
    <w:lvl w:ilvl="6">
      <w:start w:val="1"/>
      <w:numFmt w:val="decimal"/>
      <w:isLgl/>
      <w:lvlText w:val="%1.%2.%3.%4.%5.%6.%7."/>
      <w:lvlJc w:val="left"/>
      <w:pPr>
        <w:ind w:left="1800" w:hanging="1440"/>
      </w:pPr>
      <w:rPr>
        <w:rFonts w:eastAsiaTheme="minorHAnsi" w:hint="default"/>
        <w:b/>
        <w:color w:val="FFFFFF" w:themeColor="background1"/>
      </w:rPr>
    </w:lvl>
    <w:lvl w:ilvl="7">
      <w:start w:val="1"/>
      <w:numFmt w:val="decimal"/>
      <w:isLgl/>
      <w:lvlText w:val="%1.%2.%3.%4.%5.%6.%7.%8."/>
      <w:lvlJc w:val="left"/>
      <w:pPr>
        <w:ind w:left="1800" w:hanging="1440"/>
      </w:pPr>
      <w:rPr>
        <w:rFonts w:eastAsiaTheme="minorHAnsi" w:hint="default"/>
        <w:b/>
        <w:color w:val="FFFFFF" w:themeColor="background1"/>
      </w:rPr>
    </w:lvl>
    <w:lvl w:ilvl="8">
      <w:start w:val="1"/>
      <w:numFmt w:val="decimal"/>
      <w:isLgl/>
      <w:lvlText w:val="%1.%2.%3.%4.%5.%6.%7.%8.%9."/>
      <w:lvlJc w:val="left"/>
      <w:pPr>
        <w:ind w:left="2160" w:hanging="1800"/>
      </w:pPr>
      <w:rPr>
        <w:rFonts w:eastAsiaTheme="minorHAnsi" w:hint="default"/>
        <w:b/>
        <w:color w:val="FFFFFF" w:themeColor="background1"/>
      </w:rPr>
    </w:lvl>
  </w:abstractNum>
  <w:abstractNum w:abstractNumId="27" w15:restartNumberingAfterBreak="0">
    <w:nsid w:val="4FD5553C"/>
    <w:multiLevelType w:val="hybridMultilevel"/>
    <w:tmpl w:val="85163708"/>
    <w:lvl w:ilvl="0" w:tplc="2DA2FE4C">
      <w:start w:val="1"/>
      <w:numFmt w:val="lowerRoman"/>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2C489B"/>
    <w:multiLevelType w:val="hybridMultilevel"/>
    <w:tmpl w:val="5DC0F2E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A86419"/>
    <w:multiLevelType w:val="hybridMultilevel"/>
    <w:tmpl w:val="A7B8B59C"/>
    <w:lvl w:ilvl="0" w:tplc="ED521166">
      <w:start w:val="1"/>
      <w:numFmt w:val="decimal"/>
      <w:lvlText w:val="%1."/>
      <w:lvlJc w:val="left"/>
      <w:pPr>
        <w:ind w:left="6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1926F5C"/>
    <w:multiLevelType w:val="hybridMultilevel"/>
    <w:tmpl w:val="E05E070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19673F0"/>
    <w:multiLevelType w:val="hybridMultilevel"/>
    <w:tmpl w:val="E22C2F4A"/>
    <w:lvl w:ilvl="0" w:tplc="FFFFFFFF">
      <w:start w:val="1"/>
      <w:numFmt w:val="lowerLetter"/>
      <w:lvlText w:val="%1)"/>
      <w:lvlJc w:val="left"/>
      <w:pPr>
        <w:ind w:left="720" w:hanging="360"/>
      </w:pPr>
    </w:lvl>
    <w:lvl w:ilvl="1" w:tplc="0410001B">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D81797"/>
    <w:multiLevelType w:val="hybridMultilevel"/>
    <w:tmpl w:val="CDEE97AE"/>
    <w:lvl w:ilvl="0" w:tplc="041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E06C34"/>
    <w:multiLevelType w:val="hybridMultilevel"/>
    <w:tmpl w:val="1E4CAA58"/>
    <w:lvl w:ilvl="0" w:tplc="0410001B">
      <w:start w:val="1"/>
      <w:numFmt w:val="lowerRoman"/>
      <w:lvlText w:val="%1."/>
      <w:lvlJc w:val="right"/>
      <w:pPr>
        <w:ind w:left="720" w:hanging="360"/>
      </w:pPr>
      <w:rPr>
        <w:rFonts w:hint="default"/>
      </w:rPr>
    </w:lvl>
    <w:lvl w:ilvl="1" w:tplc="FFFFFFFF">
      <w:start w:val="1"/>
      <w:numFmt w:val="lowerRoman"/>
      <w:lvlText w:val="(%2)"/>
      <w:lvlJc w:val="left"/>
      <w:pPr>
        <w:ind w:left="1800" w:hanging="720"/>
      </w:pPr>
      <w:rPr>
        <w:rFonts w:hint="default"/>
      </w:rPr>
    </w:lvl>
    <w:lvl w:ilvl="2" w:tplc="FFFFFFFF">
      <w:start w:val="1"/>
      <w:numFmt w:val="bullet"/>
      <w:lvlText w:val="-"/>
      <w:lvlJc w:val="left"/>
      <w:pPr>
        <w:ind w:left="2160"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3F1CC9"/>
    <w:multiLevelType w:val="hybridMultilevel"/>
    <w:tmpl w:val="639E2778"/>
    <w:lvl w:ilvl="0" w:tplc="041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0E2EF2"/>
    <w:multiLevelType w:val="hybridMultilevel"/>
    <w:tmpl w:val="963E4EE6"/>
    <w:lvl w:ilvl="0" w:tplc="A40289C4">
      <w:numFmt w:val="bullet"/>
      <w:lvlText w:val="-"/>
      <w:lvlJc w:val="left"/>
      <w:pPr>
        <w:ind w:left="644" w:hanging="360"/>
      </w:pPr>
      <w:rPr>
        <w:rFonts w:ascii="Times New Roman" w:eastAsia="MS Mincho"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77763133"/>
    <w:multiLevelType w:val="hybridMultilevel"/>
    <w:tmpl w:val="E3DE7854"/>
    <w:lvl w:ilvl="0" w:tplc="3E407E10">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424E29"/>
    <w:multiLevelType w:val="multilevel"/>
    <w:tmpl w:val="040695DE"/>
    <w:lvl w:ilvl="0">
      <w:start w:val="1"/>
      <w:numFmt w:val="bullet"/>
      <w:lvlText w:val="-"/>
      <w:lvlJc w:val="left"/>
      <w:pPr>
        <w:ind w:left="0" w:firstLine="0"/>
      </w:pPr>
      <w:rPr>
        <w:rFonts w:ascii="Times New Roman" w:eastAsiaTheme="minorHAnsi" w:hAnsi="Times New Roman" w:cs="Times New Roman"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38" w15:restartNumberingAfterBreak="0">
    <w:nsid w:val="7A0C7184"/>
    <w:multiLevelType w:val="hybridMultilevel"/>
    <w:tmpl w:val="49C44600"/>
    <w:lvl w:ilvl="0" w:tplc="0410001B">
      <w:start w:val="1"/>
      <w:numFmt w:val="lowerRoman"/>
      <w:lvlText w:val="%1."/>
      <w:lvlJc w:val="right"/>
      <w:pPr>
        <w:ind w:left="829" w:hanging="360"/>
      </w:pPr>
      <w:rPr>
        <w:color w:val="0070C0"/>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39" w15:restartNumberingAfterBreak="0">
    <w:nsid w:val="7DCB2650"/>
    <w:multiLevelType w:val="hybridMultilevel"/>
    <w:tmpl w:val="18FCE3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64152D"/>
    <w:multiLevelType w:val="hybridMultilevel"/>
    <w:tmpl w:val="659C6B2A"/>
    <w:lvl w:ilvl="0" w:tplc="AF04DC1C">
      <w:start w:val="1"/>
      <w:numFmt w:val="bullet"/>
      <w:pStyle w:val="Elencopuntato"/>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F9E367D"/>
    <w:multiLevelType w:val="hybridMultilevel"/>
    <w:tmpl w:val="0DC0C17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16cid:durableId="1279525614">
    <w:abstractNumId w:val="37"/>
  </w:num>
  <w:num w:numId="2" w16cid:durableId="1371611886">
    <w:abstractNumId w:val="14"/>
  </w:num>
  <w:num w:numId="3" w16cid:durableId="2133816606">
    <w:abstractNumId w:val="8"/>
  </w:num>
  <w:num w:numId="4" w16cid:durableId="505443627">
    <w:abstractNumId w:val="7"/>
  </w:num>
  <w:num w:numId="5" w16cid:durableId="472992594">
    <w:abstractNumId w:val="18"/>
  </w:num>
  <w:num w:numId="6" w16cid:durableId="464153717">
    <w:abstractNumId w:val="21"/>
  </w:num>
  <w:num w:numId="7" w16cid:durableId="56444213">
    <w:abstractNumId w:val="28"/>
  </w:num>
  <w:num w:numId="8" w16cid:durableId="445659454">
    <w:abstractNumId w:val="25"/>
  </w:num>
  <w:num w:numId="9" w16cid:durableId="536698438">
    <w:abstractNumId w:val="30"/>
  </w:num>
  <w:num w:numId="10" w16cid:durableId="453404789">
    <w:abstractNumId w:val="9"/>
  </w:num>
  <w:num w:numId="11" w16cid:durableId="912156750">
    <w:abstractNumId w:val="12"/>
  </w:num>
  <w:num w:numId="12" w16cid:durableId="1214349148">
    <w:abstractNumId w:val="31"/>
  </w:num>
  <w:num w:numId="13" w16cid:durableId="1215242489">
    <w:abstractNumId w:val="27"/>
  </w:num>
  <w:num w:numId="14" w16cid:durableId="200628588">
    <w:abstractNumId w:val="34"/>
  </w:num>
  <w:num w:numId="15" w16cid:durableId="1740908249">
    <w:abstractNumId w:val="32"/>
  </w:num>
  <w:num w:numId="16" w16cid:durableId="1804469078">
    <w:abstractNumId w:val="2"/>
  </w:num>
  <w:num w:numId="17" w16cid:durableId="1494953396">
    <w:abstractNumId w:val="33"/>
  </w:num>
  <w:num w:numId="18" w16cid:durableId="1233002718">
    <w:abstractNumId w:val="36"/>
  </w:num>
  <w:num w:numId="19" w16cid:durableId="713113917">
    <w:abstractNumId w:val="11"/>
  </w:num>
  <w:num w:numId="20" w16cid:durableId="1567566859">
    <w:abstractNumId w:val="22"/>
  </w:num>
  <w:num w:numId="21" w16cid:durableId="778912773">
    <w:abstractNumId w:val="40"/>
  </w:num>
  <w:num w:numId="22" w16cid:durableId="1459834592">
    <w:abstractNumId w:val="3"/>
  </w:num>
  <w:num w:numId="23" w16cid:durableId="1098715143">
    <w:abstractNumId w:val="23"/>
  </w:num>
  <w:num w:numId="24" w16cid:durableId="999965877">
    <w:abstractNumId w:val="24"/>
  </w:num>
  <w:num w:numId="25" w16cid:durableId="1538548681">
    <w:abstractNumId w:val="13"/>
  </w:num>
  <w:num w:numId="26" w16cid:durableId="948317206">
    <w:abstractNumId w:val="38"/>
  </w:num>
  <w:num w:numId="27" w16cid:durableId="766584427">
    <w:abstractNumId w:val="10"/>
  </w:num>
  <w:num w:numId="28" w16cid:durableId="1129323215">
    <w:abstractNumId w:val="29"/>
  </w:num>
  <w:num w:numId="29" w16cid:durableId="2025672511">
    <w:abstractNumId w:val="26"/>
  </w:num>
  <w:num w:numId="30" w16cid:durableId="295527254">
    <w:abstractNumId w:val="20"/>
  </w:num>
  <w:num w:numId="31" w16cid:durableId="42027050">
    <w:abstractNumId w:val="0"/>
  </w:num>
  <w:num w:numId="32" w16cid:durableId="1436167441">
    <w:abstractNumId w:val="5"/>
  </w:num>
  <w:num w:numId="33" w16cid:durableId="1230115524">
    <w:abstractNumId w:val="41"/>
  </w:num>
  <w:num w:numId="34" w16cid:durableId="1690718340">
    <w:abstractNumId w:val="1"/>
  </w:num>
  <w:num w:numId="35" w16cid:durableId="1490755994">
    <w:abstractNumId w:val="4"/>
  </w:num>
  <w:num w:numId="36" w16cid:durableId="1606383045">
    <w:abstractNumId w:val="35"/>
  </w:num>
  <w:num w:numId="37" w16cid:durableId="1483886162">
    <w:abstractNumId w:val="19"/>
  </w:num>
  <w:num w:numId="38" w16cid:durableId="1334146929">
    <w:abstractNumId w:val="15"/>
  </w:num>
  <w:num w:numId="39" w16cid:durableId="57017957">
    <w:abstractNumId w:val="17"/>
  </w:num>
  <w:num w:numId="40" w16cid:durableId="1104883788">
    <w:abstractNumId w:val="6"/>
  </w:num>
  <w:num w:numId="41" w16cid:durableId="506868909">
    <w:abstractNumId w:val="39"/>
  </w:num>
  <w:num w:numId="42" w16cid:durableId="1254314873">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32697"/>
    <w:rsid w:val="00000C7B"/>
    <w:rsid w:val="000025C7"/>
    <w:rsid w:val="000028AD"/>
    <w:rsid w:val="000057D4"/>
    <w:rsid w:val="00006029"/>
    <w:rsid w:val="0000724C"/>
    <w:rsid w:val="00007610"/>
    <w:rsid w:val="00010D2D"/>
    <w:rsid w:val="00011410"/>
    <w:rsid w:val="00012C3B"/>
    <w:rsid w:val="0001526E"/>
    <w:rsid w:val="0001567F"/>
    <w:rsid w:val="0001576A"/>
    <w:rsid w:val="000240DC"/>
    <w:rsid w:val="00024AB1"/>
    <w:rsid w:val="000266A0"/>
    <w:rsid w:val="0002677B"/>
    <w:rsid w:val="00027A92"/>
    <w:rsid w:val="000311AE"/>
    <w:rsid w:val="000317AC"/>
    <w:rsid w:val="00031A47"/>
    <w:rsid w:val="00031AA9"/>
    <w:rsid w:val="000324C5"/>
    <w:rsid w:val="00032966"/>
    <w:rsid w:val="000330DA"/>
    <w:rsid w:val="000332C4"/>
    <w:rsid w:val="00033E53"/>
    <w:rsid w:val="000357D5"/>
    <w:rsid w:val="00035C72"/>
    <w:rsid w:val="00035D24"/>
    <w:rsid w:val="00035DD5"/>
    <w:rsid w:val="000361E8"/>
    <w:rsid w:val="00036569"/>
    <w:rsid w:val="00036FC9"/>
    <w:rsid w:val="000406D1"/>
    <w:rsid w:val="00044E44"/>
    <w:rsid w:val="000454DE"/>
    <w:rsid w:val="00045A22"/>
    <w:rsid w:val="00046D13"/>
    <w:rsid w:val="00046D40"/>
    <w:rsid w:val="00047533"/>
    <w:rsid w:val="000501BC"/>
    <w:rsid w:val="00051639"/>
    <w:rsid w:val="00052060"/>
    <w:rsid w:val="0005412B"/>
    <w:rsid w:val="000545BB"/>
    <w:rsid w:val="00054AFE"/>
    <w:rsid w:val="00055715"/>
    <w:rsid w:val="00055BD8"/>
    <w:rsid w:val="00055E1E"/>
    <w:rsid w:val="0005711E"/>
    <w:rsid w:val="00057ACA"/>
    <w:rsid w:val="00060C51"/>
    <w:rsid w:val="000616D1"/>
    <w:rsid w:val="000634D9"/>
    <w:rsid w:val="00066A62"/>
    <w:rsid w:val="00066C21"/>
    <w:rsid w:val="0006765F"/>
    <w:rsid w:val="00067C34"/>
    <w:rsid w:val="0007297B"/>
    <w:rsid w:val="000737A9"/>
    <w:rsid w:val="000748E2"/>
    <w:rsid w:val="00075F4B"/>
    <w:rsid w:val="00077386"/>
    <w:rsid w:val="0007798E"/>
    <w:rsid w:val="00080942"/>
    <w:rsid w:val="00082DE3"/>
    <w:rsid w:val="000854D5"/>
    <w:rsid w:val="0008714E"/>
    <w:rsid w:val="00087EEE"/>
    <w:rsid w:val="000911D8"/>
    <w:rsid w:val="00091BF4"/>
    <w:rsid w:val="00091C5B"/>
    <w:rsid w:val="00091FEC"/>
    <w:rsid w:val="0009255E"/>
    <w:rsid w:val="0009284D"/>
    <w:rsid w:val="00092B09"/>
    <w:rsid w:val="00092D5C"/>
    <w:rsid w:val="000952E5"/>
    <w:rsid w:val="00096443"/>
    <w:rsid w:val="00096D04"/>
    <w:rsid w:val="00096D82"/>
    <w:rsid w:val="00096E6F"/>
    <w:rsid w:val="000A003B"/>
    <w:rsid w:val="000A09D5"/>
    <w:rsid w:val="000A1956"/>
    <w:rsid w:val="000A1C0C"/>
    <w:rsid w:val="000A1D89"/>
    <w:rsid w:val="000A304D"/>
    <w:rsid w:val="000A3076"/>
    <w:rsid w:val="000A3731"/>
    <w:rsid w:val="000A5644"/>
    <w:rsid w:val="000A5FEF"/>
    <w:rsid w:val="000A6343"/>
    <w:rsid w:val="000A650F"/>
    <w:rsid w:val="000A7186"/>
    <w:rsid w:val="000A74F2"/>
    <w:rsid w:val="000B1137"/>
    <w:rsid w:val="000B1206"/>
    <w:rsid w:val="000B2B00"/>
    <w:rsid w:val="000B675E"/>
    <w:rsid w:val="000B7DFD"/>
    <w:rsid w:val="000C0781"/>
    <w:rsid w:val="000C07D6"/>
    <w:rsid w:val="000C26D0"/>
    <w:rsid w:val="000C2B9B"/>
    <w:rsid w:val="000C2C14"/>
    <w:rsid w:val="000C30CE"/>
    <w:rsid w:val="000C3B72"/>
    <w:rsid w:val="000C44CC"/>
    <w:rsid w:val="000C573A"/>
    <w:rsid w:val="000C57E9"/>
    <w:rsid w:val="000C5C09"/>
    <w:rsid w:val="000C608C"/>
    <w:rsid w:val="000C6DE9"/>
    <w:rsid w:val="000C6E91"/>
    <w:rsid w:val="000D0586"/>
    <w:rsid w:val="000D09B4"/>
    <w:rsid w:val="000D0EDC"/>
    <w:rsid w:val="000D4009"/>
    <w:rsid w:val="000D406E"/>
    <w:rsid w:val="000D4167"/>
    <w:rsid w:val="000D4DCA"/>
    <w:rsid w:val="000D698E"/>
    <w:rsid w:val="000D7B15"/>
    <w:rsid w:val="000D7DA1"/>
    <w:rsid w:val="000E0E50"/>
    <w:rsid w:val="000E1EE1"/>
    <w:rsid w:val="000E2441"/>
    <w:rsid w:val="000E29E2"/>
    <w:rsid w:val="000E4B3D"/>
    <w:rsid w:val="000E5733"/>
    <w:rsid w:val="000E6DC8"/>
    <w:rsid w:val="000E6F1E"/>
    <w:rsid w:val="000E7E56"/>
    <w:rsid w:val="000F0713"/>
    <w:rsid w:val="000F10B1"/>
    <w:rsid w:val="000F10E8"/>
    <w:rsid w:val="000F2495"/>
    <w:rsid w:val="000F3719"/>
    <w:rsid w:val="000F3B90"/>
    <w:rsid w:val="000F5074"/>
    <w:rsid w:val="00100AFD"/>
    <w:rsid w:val="00100DAC"/>
    <w:rsid w:val="00102403"/>
    <w:rsid w:val="00102D3F"/>
    <w:rsid w:val="00103039"/>
    <w:rsid w:val="00103729"/>
    <w:rsid w:val="00103C39"/>
    <w:rsid w:val="00103D41"/>
    <w:rsid w:val="00103EF0"/>
    <w:rsid w:val="00104F5F"/>
    <w:rsid w:val="0010545C"/>
    <w:rsid w:val="00105E34"/>
    <w:rsid w:val="00106550"/>
    <w:rsid w:val="00106E7B"/>
    <w:rsid w:val="00107183"/>
    <w:rsid w:val="001072BF"/>
    <w:rsid w:val="00107EFE"/>
    <w:rsid w:val="00111686"/>
    <w:rsid w:val="00111936"/>
    <w:rsid w:val="00112C8A"/>
    <w:rsid w:val="00114B13"/>
    <w:rsid w:val="00115F4E"/>
    <w:rsid w:val="00116217"/>
    <w:rsid w:val="00117F38"/>
    <w:rsid w:val="0012042F"/>
    <w:rsid w:val="00121FAC"/>
    <w:rsid w:val="00122C3E"/>
    <w:rsid w:val="001231AC"/>
    <w:rsid w:val="00125154"/>
    <w:rsid w:val="001260F0"/>
    <w:rsid w:val="00126F53"/>
    <w:rsid w:val="001274DD"/>
    <w:rsid w:val="001304C6"/>
    <w:rsid w:val="001306C9"/>
    <w:rsid w:val="00130C96"/>
    <w:rsid w:val="00134000"/>
    <w:rsid w:val="00134108"/>
    <w:rsid w:val="001343AC"/>
    <w:rsid w:val="0013572F"/>
    <w:rsid w:val="00136BC2"/>
    <w:rsid w:val="00136C15"/>
    <w:rsid w:val="00137AEF"/>
    <w:rsid w:val="001401E9"/>
    <w:rsid w:val="00140CCA"/>
    <w:rsid w:val="001420B9"/>
    <w:rsid w:val="00142187"/>
    <w:rsid w:val="001427EE"/>
    <w:rsid w:val="001432DA"/>
    <w:rsid w:val="00143D91"/>
    <w:rsid w:val="0014430B"/>
    <w:rsid w:val="00144A73"/>
    <w:rsid w:val="00144F87"/>
    <w:rsid w:val="00144FD5"/>
    <w:rsid w:val="00145063"/>
    <w:rsid w:val="001524AF"/>
    <w:rsid w:val="00152D73"/>
    <w:rsid w:val="00154E02"/>
    <w:rsid w:val="0015635A"/>
    <w:rsid w:val="00157E02"/>
    <w:rsid w:val="00160A1D"/>
    <w:rsid w:val="00160C6D"/>
    <w:rsid w:val="00161083"/>
    <w:rsid w:val="0016128F"/>
    <w:rsid w:val="001632C1"/>
    <w:rsid w:val="001633B8"/>
    <w:rsid w:val="00163F10"/>
    <w:rsid w:val="0016410F"/>
    <w:rsid w:val="001646C9"/>
    <w:rsid w:val="00164DFF"/>
    <w:rsid w:val="00165839"/>
    <w:rsid w:val="0016602B"/>
    <w:rsid w:val="00166178"/>
    <w:rsid w:val="0017185E"/>
    <w:rsid w:val="00172BE8"/>
    <w:rsid w:val="00172F7B"/>
    <w:rsid w:val="00173242"/>
    <w:rsid w:val="00173713"/>
    <w:rsid w:val="00173B49"/>
    <w:rsid w:val="0017627D"/>
    <w:rsid w:val="00176C7F"/>
    <w:rsid w:val="001801AC"/>
    <w:rsid w:val="001819A4"/>
    <w:rsid w:val="00181D06"/>
    <w:rsid w:val="0018255E"/>
    <w:rsid w:val="0018344D"/>
    <w:rsid w:val="00183BF4"/>
    <w:rsid w:val="00183E81"/>
    <w:rsid w:val="001858EB"/>
    <w:rsid w:val="00185BDC"/>
    <w:rsid w:val="00185EE1"/>
    <w:rsid w:val="0018615C"/>
    <w:rsid w:val="001901A3"/>
    <w:rsid w:val="0019119B"/>
    <w:rsid w:val="00191E52"/>
    <w:rsid w:val="001931C8"/>
    <w:rsid w:val="00193329"/>
    <w:rsid w:val="001952B3"/>
    <w:rsid w:val="001955A2"/>
    <w:rsid w:val="001961D2"/>
    <w:rsid w:val="00196659"/>
    <w:rsid w:val="00196CD8"/>
    <w:rsid w:val="00197317"/>
    <w:rsid w:val="001979BF"/>
    <w:rsid w:val="00197B6D"/>
    <w:rsid w:val="001A0A5D"/>
    <w:rsid w:val="001A0B78"/>
    <w:rsid w:val="001A1D43"/>
    <w:rsid w:val="001A24B1"/>
    <w:rsid w:val="001A2ECF"/>
    <w:rsid w:val="001A41C2"/>
    <w:rsid w:val="001A5EE4"/>
    <w:rsid w:val="001B30D5"/>
    <w:rsid w:val="001B3B08"/>
    <w:rsid w:val="001B3B0C"/>
    <w:rsid w:val="001B4337"/>
    <w:rsid w:val="001B47B3"/>
    <w:rsid w:val="001B599D"/>
    <w:rsid w:val="001C00AB"/>
    <w:rsid w:val="001C020D"/>
    <w:rsid w:val="001C08C0"/>
    <w:rsid w:val="001C14F2"/>
    <w:rsid w:val="001C1AC6"/>
    <w:rsid w:val="001C3208"/>
    <w:rsid w:val="001C3465"/>
    <w:rsid w:val="001C3567"/>
    <w:rsid w:val="001C474D"/>
    <w:rsid w:val="001C616B"/>
    <w:rsid w:val="001C67AF"/>
    <w:rsid w:val="001C7430"/>
    <w:rsid w:val="001D02C8"/>
    <w:rsid w:val="001D0883"/>
    <w:rsid w:val="001D1AC2"/>
    <w:rsid w:val="001D2D95"/>
    <w:rsid w:val="001D3ED7"/>
    <w:rsid w:val="001D4439"/>
    <w:rsid w:val="001D724E"/>
    <w:rsid w:val="001E0EBE"/>
    <w:rsid w:val="001E2029"/>
    <w:rsid w:val="001E2DB6"/>
    <w:rsid w:val="001E3B71"/>
    <w:rsid w:val="001E41D2"/>
    <w:rsid w:val="001E4A35"/>
    <w:rsid w:val="001E4F68"/>
    <w:rsid w:val="001E56D5"/>
    <w:rsid w:val="001E5854"/>
    <w:rsid w:val="001E5C7E"/>
    <w:rsid w:val="001E627E"/>
    <w:rsid w:val="001E6784"/>
    <w:rsid w:val="001F09EB"/>
    <w:rsid w:val="001F1E0E"/>
    <w:rsid w:val="001F363A"/>
    <w:rsid w:val="001F431D"/>
    <w:rsid w:val="001F4EFD"/>
    <w:rsid w:val="001F535E"/>
    <w:rsid w:val="001F60FE"/>
    <w:rsid w:val="001F7A03"/>
    <w:rsid w:val="00200A43"/>
    <w:rsid w:val="00201058"/>
    <w:rsid w:val="0020146B"/>
    <w:rsid w:val="00201F51"/>
    <w:rsid w:val="002038DB"/>
    <w:rsid w:val="00203C96"/>
    <w:rsid w:val="0020540D"/>
    <w:rsid w:val="00205B3F"/>
    <w:rsid w:val="00206407"/>
    <w:rsid w:val="00206524"/>
    <w:rsid w:val="0020653C"/>
    <w:rsid w:val="00207037"/>
    <w:rsid w:val="0020740C"/>
    <w:rsid w:val="0021096F"/>
    <w:rsid w:val="00211F43"/>
    <w:rsid w:val="00213B68"/>
    <w:rsid w:val="002148F5"/>
    <w:rsid w:val="00214A4E"/>
    <w:rsid w:val="00215902"/>
    <w:rsid w:val="002166F7"/>
    <w:rsid w:val="00216774"/>
    <w:rsid w:val="00217FDC"/>
    <w:rsid w:val="002209CD"/>
    <w:rsid w:val="00220C1C"/>
    <w:rsid w:val="0022199C"/>
    <w:rsid w:val="00221D80"/>
    <w:rsid w:val="002223BF"/>
    <w:rsid w:val="002224FE"/>
    <w:rsid w:val="0022298F"/>
    <w:rsid w:val="002243F6"/>
    <w:rsid w:val="00226B1A"/>
    <w:rsid w:val="00226E48"/>
    <w:rsid w:val="002274D2"/>
    <w:rsid w:val="00227FE3"/>
    <w:rsid w:val="002310AB"/>
    <w:rsid w:val="0023174F"/>
    <w:rsid w:val="00231E7C"/>
    <w:rsid w:val="00232697"/>
    <w:rsid w:val="00232FC9"/>
    <w:rsid w:val="0023306D"/>
    <w:rsid w:val="00234BAF"/>
    <w:rsid w:val="002406BC"/>
    <w:rsid w:val="0024081B"/>
    <w:rsid w:val="0024206B"/>
    <w:rsid w:val="002430FB"/>
    <w:rsid w:val="002440B6"/>
    <w:rsid w:val="0024552B"/>
    <w:rsid w:val="00245A87"/>
    <w:rsid w:val="00246112"/>
    <w:rsid w:val="0024679D"/>
    <w:rsid w:val="00247399"/>
    <w:rsid w:val="00247431"/>
    <w:rsid w:val="0025029C"/>
    <w:rsid w:val="002515A0"/>
    <w:rsid w:val="002523D7"/>
    <w:rsid w:val="0025289C"/>
    <w:rsid w:val="0025319E"/>
    <w:rsid w:val="00253692"/>
    <w:rsid w:val="00253AF1"/>
    <w:rsid w:val="0025410E"/>
    <w:rsid w:val="0025505E"/>
    <w:rsid w:val="00255466"/>
    <w:rsid w:val="002567DD"/>
    <w:rsid w:val="002568D0"/>
    <w:rsid w:val="002572F1"/>
    <w:rsid w:val="00260648"/>
    <w:rsid w:val="00260CE2"/>
    <w:rsid w:val="002628C7"/>
    <w:rsid w:val="002633A6"/>
    <w:rsid w:val="002640D9"/>
    <w:rsid w:val="00264AEA"/>
    <w:rsid w:val="00267161"/>
    <w:rsid w:val="00267765"/>
    <w:rsid w:val="00267863"/>
    <w:rsid w:val="00270900"/>
    <w:rsid w:val="00271315"/>
    <w:rsid w:val="00271CEE"/>
    <w:rsid w:val="00271E89"/>
    <w:rsid w:val="00272F41"/>
    <w:rsid w:val="00273129"/>
    <w:rsid w:val="00274AA0"/>
    <w:rsid w:val="002755E6"/>
    <w:rsid w:val="002756FE"/>
    <w:rsid w:val="00277343"/>
    <w:rsid w:val="00277848"/>
    <w:rsid w:val="002779A1"/>
    <w:rsid w:val="00277B4B"/>
    <w:rsid w:val="00282177"/>
    <w:rsid w:val="002856D9"/>
    <w:rsid w:val="00286785"/>
    <w:rsid w:val="00286B20"/>
    <w:rsid w:val="002879BA"/>
    <w:rsid w:val="00290AF6"/>
    <w:rsid w:val="00290B71"/>
    <w:rsid w:val="002920B4"/>
    <w:rsid w:val="0029275A"/>
    <w:rsid w:val="002933AD"/>
    <w:rsid w:val="00294EDD"/>
    <w:rsid w:val="002957AC"/>
    <w:rsid w:val="00295A9E"/>
    <w:rsid w:val="00296281"/>
    <w:rsid w:val="002A04B8"/>
    <w:rsid w:val="002A0CA4"/>
    <w:rsid w:val="002A10D1"/>
    <w:rsid w:val="002A1623"/>
    <w:rsid w:val="002A19CB"/>
    <w:rsid w:val="002A19E9"/>
    <w:rsid w:val="002A27CF"/>
    <w:rsid w:val="002A494E"/>
    <w:rsid w:val="002A4EE2"/>
    <w:rsid w:val="002A5BB5"/>
    <w:rsid w:val="002A6BAA"/>
    <w:rsid w:val="002A75E2"/>
    <w:rsid w:val="002A77E6"/>
    <w:rsid w:val="002A7BD2"/>
    <w:rsid w:val="002B22A2"/>
    <w:rsid w:val="002B2AEE"/>
    <w:rsid w:val="002B2C42"/>
    <w:rsid w:val="002B3A02"/>
    <w:rsid w:val="002B49AB"/>
    <w:rsid w:val="002B5220"/>
    <w:rsid w:val="002C026D"/>
    <w:rsid w:val="002C097E"/>
    <w:rsid w:val="002C1B81"/>
    <w:rsid w:val="002C2968"/>
    <w:rsid w:val="002C2A9B"/>
    <w:rsid w:val="002C3CDD"/>
    <w:rsid w:val="002C5016"/>
    <w:rsid w:val="002C55CE"/>
    <w:rsid w:val="002C6F19"/>
    <w:rsid w:val="002C6F69"/>
    <w:rsid w:val="002D012F"/>
    <w:rsid w:val="002D15F2"/>
    <w:rsid w:val="002D1FFD"/>
    <w:rsid w:val="002D21F0"/>
    <w:rsid w:val="002D46EC"/>
    <w:rsid w:val="002D4F66"/>
    <w:rsid w:val="002D5D0B"/>
    <w:rsid w:val="002D60BE"/>
    <w:rsid w:val="002D790F"/>
    <w:rsid w:val="002D7E67"/>
    <w:rsid w:val="002E096F"/>
    <w:rsid w:val="002E0DCF"/>
    <w:rsid w:val="002E1038"/>
    <w:rsid w:val="002E1080"/>
    <w:rsid w:val="002E148D"/>
    <w:rsid w:val="002E4A67"/>
    <w:rsid w:val="002E4A9D"/>
    <w:rsid w:val="002E52A4"/>
    <w:rsid w:val="002E5368"/>
    <w:rsid w:val="002E54A7"/>
    <w:rsid w:val="002E66E0"/>
    <w:rsid w:val="002E703F"/>
    <w:rsid w:val="002F149E"/>
    <w:rsid w:val="002F1BF6"/>
    <w:rsid w:val="002F2D22"/>
    <w:rsid w:val="002F5926"/>
    <w:rsid w:val="002F5A61"/>
    <w:rsid w:val="002F667C"/>
    <w:rsid w:val="002F6AB3"/>
    <w:rsid w:val="002F713D"/>
    <w:rsid w:val="002F7E53"/>
    <w:rsid w:val="00300044"/>
    <w:rsid w:val="00300F8D"/>
    <w:rsid w:val="00301909"/>
    <w:rsid w:val="00301E22"/>
    <w:rsid w:val="0030494E"/>
    <w:rsid w:val="0030569D"/>
    <w:rsid w:val="00305B39"/>
    <w:rsid w:val="0030736D"/>
    <w:rsid w:val="00307996"/>
    <w:rsid w:val="00313563"/>
    <w:rsid w:val="00313D40"/>
    <w:rsid w:val="00314310"/>
    <w:rsid w:val="00314325"/>
    <w:rsid w:val="00314BB4"/>
    <w:rsid w:val="0031522E"/>
    <w:rsid w:val="00316FD4"/>
    <w:rsid w:val="003206F7"/>
    <w:rsid w:val="003225A4"/>
    <w:rsid w:val="00324519"/>
    <w:rsid w:val="00325527"/>
    <w:rsid w:val="003259B0"/>
    <w:rsid w:val="00325A75"/>
    <w:rsid w:val="00326173"/>
    <w:rsid w:val="00326174"/>
    <w:rsid w:val="00326285"/>
    <w:rsid w:val="0032710C"/>
    <w:rsid w:val="00330660"/>
    <w:rsid w:val="00330A10"/>
    <w:rsid w:val="00332ACE"/>
    <w:rsid w:val="00332B7E"/>
    <w:rsid w:val="00333B9E"/>
    <w:rsid w:val="00334106"/>
    <w:rsid w:val="00334B66"/>
    <w:rsid w:val="00336D98"/>
    <w:rsid w:val="00336DB5"/>
    <w:rsid w:val="00337310"/>
    <w:rsid w:val="00337DF6"/>
    <w:rsid w:val="003402C6"/>
    <w:rsid w:val="0034071A"/>
    <w:rsid w:val="0034091A"/>
    <w:rsid w:val="0034270F"/>
    <w:rsid w:val="00343E79"/>
    <w:rsid w:val="00344A2B"/>
    <w:rsid w:val="00344F44"/>
    <w:rsid w:val="0034578C"/>
    <w:rsid w:val="00345B59"/>
    <w:rsid w:val="00345C25"/>
    <w:rsid w:val="00347DB6"/>
    <w:rsid w:val="00350995"/>
    <w:rsid w:val="003531A7"/>
    <w:rsid w:val="0035375A"/>
    <w:rsid w:val="00355144"/>
    <w:rsid w:val="00355B8C"/>
    <w:rsid w:val="003565A3"/>
    <w:rsid w:val="00356611"/>
    <w:rsid w:val="00357982"/>
    <w:rsid w:val="00357D9D"/>
    <w:rsid w:val="0036066F"/>
    <w:rsid w:val="003611C2"/>
    <w:rsid w:val="00361416"/>
    <w:rsid w:val="0036233E"/>
    <w:rsid w:val="00362A6F"/>
    <w:rsid w:val="00362E94"/>
    <w:rsid w:val="00363146"/>
    <w:rsid w:val="003637C9"/>
    <w:rsid w:val="00363AD7"/>
    <w:rsid w:val="00364032"/>
    <w:rsid w:val="003651C4"/>
    <w:rsid w:val="00365CFF"/>
    <w:rsid w:val="0036630B"/>
    <w:rsid w:val="003679D2"/>
    <w:rsid w:val="00371C3B"/>
    <w:rsid w:val="00372DDF"/>
    <w:rsid w:val="0037481A"/>
    <w:rsid w:val="0037516B"/>
    <w:rsid w:val="00375C4A"/>
    <w:rsid w:val="00375E7B"/>
    <w:rsid w:val="00376B2D"/>
    <w:rsid w:val="00377377"/>
    <w:rsid w:val="00380125"/>
    <w:rsid w:val="00380995"/>
    <w:rsid w:val="0038289F"/>
    <w:rsid w:val="00383670"/>
    <w:rsid w:val="003837F4"/>
    <w:rsid w:val="00383CE4"/>
    <w:rsid w:val="00383CE7"/>
    <w:rsid w:val="00385888"/>
    <w:rsid w:val="00385D7E"/>
    <w:rsid w:val="0038625E"/>
    <w:rsid w:val="00386759"/>
    <w:rsid w:val="00386A89"/>
    <w:rsid w:val="00387669"/>
    <w:rsid w:val="00387D84"/>
    <w:rsid w:val="00390476"/>
    <w:rsid w:val="003910C8"/>
    <w:rsid w:val="00391250"/>
    <w:rsid w:val="00391E16"/>
    <w:rsid w:val="00392648"/>
    <w:rsid w:val="00393CCB"/>
    <w:rsid w:val="003950E5"/>
    <w:rsid w:val="0039674E"/>
    <w:rsid w:val="00396827"/>
    <w:rsid w:val="00396FAA"/>
    <w:rsid w:val="003A17C4"/>
    <w:rsid w:val="003A2165"/>
    <w:rsid w:val="003A41F7"/>
    <w:rsid w:val="003A58B8"/>
    <w:rsid w:val="003A5A1D"/>
    <w:rsid w:val="003A6115"/>
    <w:rsid w:val="003A6830"/>
    <w:rsid w:val="003A7189"/>
    <w:rsid w:val="003A7BE2"/>
    <w:rsid w:val="003B0C2A"/>
    <w:rsid w:val="003B1DC0"/>
    <w:rsid w:val="003B28E1"/>
    <w:rsid w:val="003B44BD"/>
    <w:rsid w:val="003B4C43"/>
    <w:rsid w:val="003B6DF2"/>
    <w:rsid w:val="003B7D0F"/>
    <w:rsid w:val="003C0382"/>
    <w:rsid w:val="003C08CF"/>
    <w:rsid w:val="003C1903"/>
    <w:rsid w:val="003C2808"/>
    <w:rsid w:val="003C309D"/>
    <w:rsid w:val="003C3351"/>
    <w:rsid w:val="003C341E"/>
    <w:rsid w:val="003C37D9"/>
    <w:rsid w:val="003C3D76"/>
    <w:rsid w:val="003C42D3"/>
    <w:rsid w:val="003C4E20"/>
    <w:rsid w:val="003C5E03"/>
    <w:rsid w:val="003C66DF"/>
    <w:rsid w:val="003C70C4"/>
    <w:rsid w:val="003C7C1C"/>
    <w:rsid w:val="003D012B"/>
    <w:rsid w:val="003D0CF9"/>
    <w:rsid w:val="003D210B"/>
    <w:rsid w:val="003D2FBC"/>
    <w:rsid w:val="003D32D4"/>
    <w:rsid w:val="003D3876"/>
    <w:rsid w:val="003D4C4D"/>
    <w:rsid w:val="003D4E18"/>
    <w:rsid w:val="003D5D03"/>
    <w:rsid w:val="003D5D4D"/>
    <w:rsid w:val="003D6EDA"/>
    <w:rsid w:val="003E01DA"/>
    <w:rsid w:val="003E0405"/>
    <w:rsid w:val="003E069B"/>
    <w:rsid w:val="003E0F5A"/>
    <w:rsid w:val="003E130B"/>
    <w:rsid w:val="003E1310"/>
    <w:rsid w:val="003E1D27"/>
    <w:rsid w:val="003E3CD6"/>
    <w:rsid w:val="003E45E6"/>
    <w:rsid w:val="003E4872"/>
    <w:rsid w:val="003E4E41"/>
    <w:rsid w:val="003E5E77"/>
    <w:rsid w:val="003E7C4F"/>
    <w:rsid w:val="003F09E9"/>
    <w:rsid w:val="003F2EA7"/>
    <w:rsid w:val="003F4068"/>
    <w:rsid w:val="003F5978"/>
    <w:rsid w:val="003F6AF4"/>
    <w:rsid w:val="003F6F7A"/>
    <w:rsid w:val="003F7BA0"/>
    <w:rsid w:val="004001D4"/>
    <w:rsid w:val="0040129B"/>
    <w:rsid w:val="004016BA"/>
    <w:rsid w:val="004020DC"/>
    <w:rsid w:val="0040241A"/>
    <w:rsid w:val="00403200"/>
    <w:rsid w:val="00404732"/>
    <w:rsid w:val="0040532A"/>
    <w:rsid w:val="0040623A"/>
    <w:rsid w:val="0040680B"/>
    <w:rsid w:val="00406A3A"/>
    <w:rsid w:val="00406F31"/>
    <w:rsid w:val="0041238C"/>
    <w:rsid w:val="004127ED"/>
    <w:rsid w:val="004129C4"/>
    <w:rsid w:val="00413C4C"/>
    <w:rsid w:val="00414222"/>
    <w:rsid w:val="00414ED2"/>
    <w:rsid w:val="0041688D"/>
    <w:rsid w:val="00416CF2"/>
    <w:rsid w:val="00417481"/>
    <w:rsid w:val="0041788C"/>
    <w:rsid w:val="00417E83"/>
    <w:rsid w:val="0042069C"/>
    <w:rsid w:val="00420944"/>
    <w:rsid w:val="00420CED"/>
    <w:rsid w:val="00420FCE"/>
    <w:rsid w:val="004225E4"/>
    <w:rsid w:val="00423E71"/>
    <w:rsid w:val="004243A5"/>
    <w:rsid w:val="00424A8A"/>
    <w:rsid w:val="004259F7"/>
    <w:rsid w:val="00425C18"/>
    <w:rsid w:val="00426161"/>
    <w:rsid w:val="00426E95"/>
    <w:rsid w:val="00427528"/>
    <w:rsid w:val="00427B5E"/>
    <w:rsid w:val="004308D6"/>
    <w:rsid w:val="00430E68"/>
    <w:rsid w:val="00431FA8"/>
    <w:rsid w:val="00432F07"/>
    <w:rsid w:val="00432FED"/>
    <w:rsid w:val="0043347B"/>
    <w:rsid w:val="004336C8"/>
    <w:rsid w:val="00434051"/>
    <w:rsid w:val="00434588"/>
    <w:rsid w:val="00436582"/>
    <w:rsid w:val="00437242"/>
    <w:rsid w:val="004400A5"/>
    <w:rsid w:val="00440999"/>
    <w:rsid w:val="00442057"/>
    <w:rsid w:val="00442A03"/>
    <w:rsid w:val="00442DE6"/>
    <w:rsid w:val="00445506"/>
    <w:rsid w:val="00446D52"/>
    <w:rsid w:val="00446F6C"/>
    <w:rsid w:val="00447811"/>
    <w:rsid w:val="00447920"/>
    <w:rsid w:val="00447A82"/>
    <w:rsid w:val="00451846"/>
    <w:rsid w:val="00452EED"/>
    <w:rsid w:val="004539F2"/>
    <w:rsid w:val="00454248"/>
    <w:rsid w:val="00454616"/>
    <w:rsid w:val="00454D3D"/>
    <w:rsid w:val="00455DEA"/>
    <w:rsid w:val="00456634"/>
    <w:rsid w:val="00456AB1"/>
    <w:rsid w:val="00456D43"/>
    <w:rsid w:val="0045779D"/>
    <w:rsid w:val="00457A5A"/>
    <w:rsid w:val="00460DE4"/>
    <w:rsid w:val="004614FF"/>
    <w:rsid w:val="00461A4B"/>
    <w:rsid w:val="00461E14"/>
    <w:rsid w:val="00463379"/>
    <w:rsid w:val="00463611"/>
    <w:rsid w:val="00465FDD"/>
    <w:rsid w:val="00467E2A"/>
    <w:rsid w:val="0047121D"/>
    <w:rsid w:val="00471A6C"/>
    <w:rsid w:val="00472391"/>
    <w:rsid w:val="00473C9B"/>
    <w:rsid w:val="00474063"/>
    <w:rsid w:val="00474DD7"/>
    <w:rsid w:val="004771E3"/>
    <w:rsid w:val="004775D5"/>
    <w:rsid w:val="00482BFA"/>
    <w:rsid w:val="00482ECE"/>
    <w:rsid w:val="00483D32"/>
    <w:rsid w:val="004844DB"/>
    <w:rsid w:val="00485034"/>
    <w:rsid w:val="0048647E"/>
    <w:rsid w:val="0048742F"/>
    <w:rsid w:val="00487F84"/>
    <w:rsid w:val="004907C7"/>
    <w:rsid w:val="00492902"/>
    <w:rsid w:val="00492F04"/>
    <w:rsid w:val="00493BF9"/>
    <w:rsid w:val="00494C68"/>
    <w:rsid w:val="00494DE9"/>
    <w:rsid w:val="00495363"/>
    <w:rsid w:val="00496008"/>
    <w:rsid w:val="004A04EE"/>
    <w:rsid w:val="004A0B95"/>
    <w:rsid w:val="004A16C1"/>
    <w:rsid w:val="004A253A"/>
    <w:rsid w:val="004A4265"/>
    <w:rsid w:val="004A4C98"/>
    <w:rsid w:val="004A55D5"/>
    <w:rsid w:val="004A6BFE"/>
    <w:rsid w:val="004A7725"/>
    <w:rsid w:val="004B0002"/>
    <w:rsid w:val="004B0812"/>
    <w:rsid w:val="004B0E36"/>
    <w:rsid w:val="004B1131"/>
    <w:rsid w:val="004B1579"/>
    <w:rsid w:val="004B39E2"/>
    <w:rsid w:val="004B3B5C"/>
    <w:rsid w:val="004B41FC"/>
    <w:rsid w:val="004B423D"/>
    <w:rsid w:val="004B4C02"/>
    <w:rsid w:val="004B53AD"/>
    <w:rsid w:val="004B5DB2"/>
    <w:rsid w:val="004B5E56"/>
    <w:rsid w:val="004B73E5"/>
    <w:rsid w:val="004B7940"/>
    <w:rsid w:val="004C1361"/>
    <w:rsid w:val="004C2639"/>
    <w:rsid w:val="004C27DB"/>
    <w:rsid w:val="004C37A1"/>
    <w:rsid w:val="004C3AEB"/>
    <w:rsid w:val="004C43CA"/>
    <w:rsid w:val="004C4672"/>
    <w:rsid w:val="004C59E8"/>
    <w:rsid w:val="004C7B67"/>
    <w:rsid w:val="004D0299"/>
    <w:rsid w:val="004D0EE0"/>
    <w:rsid w:val="004D0EFC"/>
    <w:rsid w:val="004D3347"/>
    <w:rsid w:val="004D363E"/>
    <w:rsid w:val="004D3D92"/>
    <w:rsid w:val="004D5D34"/>
    <w:rsid w:val="004D6624"/>
    <w:rsid w:val="004E0E30"/>
    <w:rsid w:val="004E24BF"/>
    <w:rsid w:val="004E2508"/>
    <w:rsid w:val="004E2A57"/>
    <w:rsid w:val="004E474F"/>
    <w:rsid w:val="004E4E93"/>
    <w:rsid w:val="004E78E6"/>
    <w:rsid w:val="004E7EB0"/>
    <w:rsid w:val="004F0D2A"/>
    <w:rsid w:val="004F177C"/>
    <w:rsid w:val="004F19E5"/>
    <w:rsid w:val="004F2E40"/>
    <w:rsid w:val="004F3F87"/>
    <w:rsid w:val="004F528B"/>
    <w:rsid w:val="004F599E"/>
    <w:rsid w:val="004F601E"/>
    <w:rsid w:val="00500522"/>
    <w:rsid w:val="00500AC1"/>
    <w:rsid w:val="00501032"/>
    <w:rsid w:val="00501D8E"/>
    <w:rsid w:val="0050220D"/>
    <w:rsid w:val="005029A8"/>
    <w:rsid w:val="0050449F"/>
    <w:rsid w:val="00504581"/>
    <w:rsid w:val="005061C3"/>
    <w:rsid w:val="005078F1"/>
    <w:rsid w:val="00507D14"/>
    <w:rsid w:val="00507D16"/>
    <w:rsid w:val="005112F1"/>
    <w:rsid w:val="005115CE"/>
    <w:rsid w:val="00511A16"/>
    <w:rsid w:val="0051301A"/>
    <w:rsid w:val="005141A1"/>
    <w:rsid w:val="00514467"/>
    <w:rsid w:val="00514484"/>
    <w:rsid w:val="00514C3E"/>
    <w:rsid w:val="00514F8E"/>
    <w:rsid w:val="005153A6"/>
    <w:rsid w:val="00515702"/>
    <w:rsid w:val="0051574C"/>
    <w:rsid w:val="0051720F"/>
    <w:rsid w:val="005211D0"/>
    <w:rsid w:val="00521AA3"/>
    <w:rsid w:val="00522243"/>
    <w:rsid w:val="00522F92"/>
    <w:rsid w:val="00523557"/>
    <w:rsid w:val="005235C1"/>
    <w:rsid w:val="00523706"/>
    <w:rsid w:val="00525613"/>
    <w:rsid w:val="005260DA"/>
    <w:rsid w:val="00526487"/>
    <w:rsid w:val="005276B7"/>
    <w:rsid w:val="00532B95"/>
    <w:rsid w:val="0053494A"/>
    <w:rsid w:val="00534AE1"/>
    <w:rsid w:val="00535F10"/>
    <w:rsid w:val="00536052"/>
    <w:rsid w:val="00537DFD"/>
    <w:rsid w:val="0054046C"/>
    <w:rsid w:val="00540D98"/>
    <w:rsid w:val="00540FFF"/>
    <w:rsid w:val="00541B6D"/>
    <w:rsid w:val="00541D12"/>
    <w:rsid w:val="00542637"/>
    <w:rsid w:val="00543575"/>
    <w:rsid w:val="00547296"/>
    <w:rsid w:val="00550416"/>
    <w:rsid w:val="0055150A"/>
    <w:rsid w:val="00551793"/>
    <w:rsid w:val="0055206B"/>
    <w:rsid w:val="00552711"/>
    <w:rsid w:val="00552AC0"/>
    <w:rsid w:val="00553662"/>
    <w:rsid w:val="00553A36"/>
    <w:rsid w:val="00553B36"/>
    <w:rsid w:val="00555681"/>
    <w:rsid w:val="00555DBE"/>
    <w:rsid w:val="00556858"/>
    <w:rsid w:val="00560BEB"/>
    <w:rsid w:val="005616B9"/>
    <w:rsid w:val="00562F9A"/>
    <w:rsid w:val="00564734"/>
    <w:rsid w:val="00566391"/>
    <w:rsid w:val="005674FD"/>
    <w:rsid w:val="0056759F"/>
    <w:rsid w:val="00567700"/>
    <w:rsid w:val="005710D8"/>
    <w:rsid w:val="00571273"/>
    <w:rsid w:val="0057373E"/>
    <w:rsid w:val="005741B5"/>
    <w:rsid w:val="005757EA"/>
    <w:rsid w:val="00575AA1"/>
    <w:rsid w:val="0057677C"/>
    <w:rsid w:val="00577B9C"/>
    <w:rsid w:val="0058325E"/>
    <w:rsid w:val="00583FA8"/>
    <w:rsid w:val="00584202"/>
    <w:rsid w:val="00584B76"/>
    <w:rsid w:val="00585CCE"/>
    <w:rsid w:val="00585FAF"/>
    <w:rsid w:val="00586416"/>
    <w:rsid w:val="0058755B"/>
    <w:rsid w:val="00591CFC"/>
    <w:rsid w:val="00594384"/>
    <w:rsid w:val="0059483E"/>
    <w:rsid w:val="005954A5"/>
    <w:rsid w:val="005959EF"/>
    <w:rsid w:val="00595C76"/>
    <w:rsid w:val="005963E0"/>
    <w:rsid w:val="0059679C"/>
    <w:rsid w:val="00596BAA"/>
    <w:rsid w:val="005A0D41"/>
    <w:rsid w:val="005A2298"/>
    <w:rsid w:val="005A2D3A"/>
    <w:rsid w:val="005A347A"/>
    <w:rsid w:val="005A3EFB"/>
    <w:rsid w:val="005A542D"/>
    <w:rsid w:val="005A7C1A"/>
    <w:rsid w:val="005B3AE0"/>
    <w:rsid w:val="005B3E2F"/>
    <w:rsid w:val="005B5F51"/>
    <w:rsid w:val="005B615E"/>
    <w:rsid w:val="005B63A1"/>
    <w:rsid w:val="005B73C6"/>
    <w:rsid w:val="005B759A"/>
    <w:rsid w:val="005B7A7B"/>
    <w:rsid w:val="005C09C1"/>
    <w:rsid w:val="005C209E"/>
    <w:rsid w:val="005C34EA"/>
    <w:rsid w:val="005C3809"/>
    <w:rsid w:val="005C57F0"/>
    <w:rsid w:val="005C5C38"/>
    <w:rsid w:val="005C75C4"/>
    <w:rsid w:val="005C79EA"/>
    <w:rsid w:val="005D0869"/>
    <w:rsid w:val="005D08E9"/>
    <w:rsid w:val="005D214F"/>
    <w:rsid w:val="005D3209"/>
    <w:rsid w:val="005D4EBC"/>
    <w:rsid w:val="005D5E06"/>
    <w:rsid w:val="005D75C2"/>
    <w:rsid w:val="005D7A31"/>
    <w:rsid w:val="005D7FC2"/>
    <w:rsid w:val="005E00BB"/>
    <w:rsid w:val="005E1236"/>
    <w:rsid w:val="005E1505"/>
    <w:rsid w:val="005E1768"/>
    <w:rsid w:val="005E3D01"/>
    <w:rsid w:val="005E59F6"/>
    <w:rsid w:val="005E63E1"/>
    <w:rsid w:val="005E6923"/>
    <w:rsid w:val="005F177F"/>
    <w:rsid w:val="005F1DB6"/>
    <w:rsid w:val="005F2772"/>
    <w:rsid w:val="005F28D3"/>
    <w:rsid w:val="005F28F6"/>
    <w:rsid w:val="005F4394"/>
    <w:rsid w:val="005F5F77"/>
    <w:rsid w:val="005F6244"/>
    <w:rsid w:val="005F7F6C"/>
    <w:rsid w:val="0060099E"/>
    <w:rsid w:val="00601102"/>
    <w:rsid w:val="00601924"/>
    <w:rsid w:val="00602143"/>
    <w:rsid w:val="00602909"/>
    <w:rsid w:val="00602CAB"/>
    <w:rsid w:val="006041A0"/>
    <w:rsid w:val="00604658"/>
    <w:rsid w:val="0060509F"/>
    <w:rsid w:val="00605410"/>
    <w:rsid w:val="0060547A"/>
    <w:rsid w:val="006069EA"/>
    <w:rsid w:val="00607737"/>
    <w:rsid w:val="00607FCD"/>
    <w:rsid w:val="00610A5A"/>
    <w:rsid w:val="0061177E"/>
    <w:rsid w:val="00611A63"/>
    <w:rsid w:val="00612670"/>
    <w:rsid w:val="00613245"/>
    <w:rsid w:val="006143E3"/>
    <w:rsid w:val="006146AB"/>
    <w:rsid w:val="00614D18"/>
    <w:rsid w:val="0061537B"/>
    <w:rsid w:val="00615A2C"/>
    <w:rsid w:val="00615A5A"/>
    <w:rsid w:val="00615AE2"/>
    <w:rsid w:val="00617CFB"/>
    <w:rsid w:val="00617DDB"/>
    <w:rsid w:val="00620B68"/>
    <w:rsid w:val="00620D20"/>
    <w:rsid w:val="0062100D"/>
    <w:rsid w:val="00621C5C"/>
    <w:rsid w:val="0062317D"/>
    <w:rsid w:val="00624702"/>
    <w:rsid w:val="006249C0"/>
    <w:rsid w:val="00624C5E"/>
    <w:rsid w:val="006268EB"/>
    <w:rsid w:val="006271DC"/>
    <w:rsid w:val="00627407"/>
    <w:rsid w:val="006277C5"/>
    <w:rsid w:val="00627C02"/>
    <w:rsid w:val="00627ED0"/>
    <w:rsid w:val="006310AB"/>
    <w:rsid w:val="00631B17"/>
    <w:rsid w:val="00632313"/>
    <w:rsid w:val="006333D5"/>
    <w:rsid w:val="006340F7"/>
    <w:rsid w:val="0063491E"/>
    <w:rsid w:val="00635712"/>
    <w:rsid w:val="006362D2"/>
    <w:rsid w:val="00636E56"/>
    <w:rsid w:val="006374E1"/>
    <w:rsid w:val="006409E1"/>
    <w:rsid w:val="00640A1B"/>
    <w:rsid w:val="00641DFC"/>
    <w:rsid w:val="00642D26"/>
    <w:rsid w:val="00643E00"/>
    <w:rsid w:val="00644F8B"/>
    <w:rsid w:val="00645C52"/>
    <w:rsid w:val="006478A0"/>
    <w:rsid w:val="00647E53"/>
    <w:rsid w:val="006528EE"/>
    <w:rsid w:val="00652980"/>
    <w:rsid w:val="006530C8"/>
    <w:rsid w:val="006535C3"/>
    <w:rsid w:val="00653E56"/>
    <w:rsid w:val="00655C2D"/>
    <w:rsid w:val="006562BC"/>
    <w:rsid w:val="00656DFD"/>
    <w:rsid w:val="00660787"/>
    <w:rsid w:val="006608C7"/>
    <w:rsid w:val="00660E11"/>
    <w:rsid w:val="00662CB8"/>
    <w:rsid w:val="00662D68"/>
    <w:rsid w:val="00662ECA"/>
    <w:rsid w:val="006639DD"/>
    <w:rsid w:val="00664F3A"/>
    <w:rsid w:val="0066685C"/>
    <w:rsid w:val="00670157"/>
    <w:rsid w:val="0067034E"/>
    <w:rsid w:val="00670413"/>
    <w:rsid w:val="006708D0"/>
    <w:rsid w:val="006713B2"/>
    <w:rsid w:val="00672539"/>
    <w:rsid w:val="00672561"/>
    <w:rsid w:val="00672F84"/>
    <w:rsid w:val="0067327D"/>
    <w:rsid w:val="006734F0"/>
    <w:rsid w:val="00673512"/>
    <w:rsid w:val="00673557"/>
    <w:rsid w:val="006739A5"/>
    <w:rsid w:val="0067403F"/>
    <w:rsid w:val="006746E3"/>
    <w:rsid w:val="006747F2"/>
    <w:rsid w:val="006749EA"/>
    <w:rsid w:val="006752DC"/>
    <w:rsid w:val="006756CA"/>
    <w:rsid w:val="00675A7E"/>
    <w:rsid w:val="0067672F"/>
    <w:rsid w:val="00677D4E"/>
    <w:rsid w:val="00677E00"/>
    <w:rsid w:val="00677FD1"/>
    <w:rsid w:val="00680380"/>
    <w:rsid w:val="006803E5"/>
    <w:rsid w:val="00680CE0"/>
    <w:rsid w:val="00680FE6"/>
    <w:rsid w:val="00681131"/>
    <w:rsid w:val="006830AC"/>
    <w:rsid w:val="00683E38"/>
    <w:rsid w:val="00683EAF"/>
    <w:rsid w:val="00684F74"/>
    <w:rsid w:val="0068537A"/>
    <w:rsid w:val="00686165"/>
    <w:rsid w:val="006873E5"/>
    <w:rsid w:val="006909A9"/>
    <w:rsid w:val="00690B50"/>
    <w:rsid w:val="00691267"/>
    <w:rsid w:val="00692275"/>
    <w:rsid w:val="0069280D"/>
    <w:rsid w:val="00692D5D"/>
    <w:rsid w:val="00693279"/>
    <w:rsid w:val="00693FD9"/>
    <w:rsid w:val="006946A8"/>
    <w:rsid w:val="00695E7E"/>
    <w:rsid w:val="006970F2"/>
    <w:rsid w:val="00697A8F"/>
    <w:rsid w:val="00697E8C"/>
    <w:rsid w:val="006A0DF0"/>
    <w:rsid w:val="006A1E2D"/>
    <w:rsid w:val="006A2287"/>
    <w:rsid w:val="006A24EC"/>
    <w:rsid w:val="006A2548"/>
    <w:rsid w:val="006A45BA"/>
    <w:rsid w:val="006A57A7"/>
    <w:rsid w:val="006A6261"/>
    <w:rsid w:val="006A7946"/>
    <w:rsid w:val="006A7ADD"/>
    <w:rsid w:val="006A7F5A"/>
    <w:rsid w:val="006B019A"/>
    <w:rsid w:val="006B0AA0"/>
    <w:rsid w:val="006B1302"/>
    <w:rsid w:val="006B1441"/>
    <w:rsid w:val="006B313A"/>
    <w:rsid w:val="006B3B47"/>
    <w:rsid w:val="006B5C20"/>
    <w:rsid w:val="006B623E"/>
    <w:rsid w:val="006B7A1A"/>
    <w:rsid w:val="006B7EF8"/>
    <w:rsid w:val="006C018F"/>
    <w:rsid w:val="006C04D5"/>
    <w:rsid w:val="006C0958"/>
    <w:rsid w:val="006C0E8E"/>
    <w:rsid w:val="006C1A9A"/>
    <w:rsid w:val="006C2111"/>
    <w:rsid w:val="006C3A75"/>
    <w:rsid w:val="006C5B83"/>
    <w:rsid w:val="006C6061"/>
    <w:rsid w:val="006D1525"/>
    <w:rsid w:val="006D378C"/>
    <w:rsid w:val="006D39A6"/>
    <w:rsid w:val="006D506C"/>
    <w:rsid w:val="006D761C"/>
    <w:rsid w:val="006D76A6"/>
    <w:rsid w:val="006E087F"/>
    <w:rsid w:val="006E0D34"/>
    <w:rsid w:val="006E1F59"/>
    <w:rsid w:val="006E243C"/>
    <w:rsid w:val="006E3AC3"/>
    <w:rsid w:val="006E4358"/>
    <w:rsid w:val="006E4813"/>
    <w:rsid w:val="006E4D0A"/>
    <w:rsid w:val="006E559D"/>
    <w:rsid w:val="006E5862"/>
    <w:rsid w:val="006E61E1"/>
    <w:rsid w:val="006E725C"/>
    <w:rsid w:val="006F008D"/>
    <w:rsid w:val="006F0145"/>
    <w:rsid w:val="006F037E"/>
    <w:rsid w:val="006F0483"/>
    <w:rsid w:val="006F0631"/>
    <w:rsid w:val="006F134C"/>
    <w:rsid w:val="006F1685"/>
    <w:rsid w:val="006F45EE"/>
    <w:rsid w:val="006F4B65"/>
    <w:rsid w:val="006F56A3"/>
    <w:rsid w:val="006F7CCB"/>
    <w:rsid w:val="00700989"/>
    <w:rsid w:val="00703D1D"/>
    <w:rsid w:val="00704475"/>
    <w:rsid w:val="00704880"/>
    <w:rsid w:val="00705090"/>
    <w:rsid w:val="00705441"/>
    <w:rsid w:val="00707B92"/>
    <w:rsid w:val="00707BEF"/>
    <w:rsid w:val="00710550"/>
    <w:rsid w:val="00710845"/>
    <w:rsid w:val="00711873"/>
    <w:rsid w:val="007128B8"/>
    <w:rsid w:val="007156B5"/>
    <w:rsid w:val="007156E8"/>
    <w:rsid w:val="00715EB5"/>
    <w:rsid w:val="00716151"/>
    <w:rsid w:val="00717817"/>
    <w:rsid w:val="00717909"/>
    <w:rsid w:val="007203F5"/>
    <w:rsid w:val="007210C6"/>
    <w:rsid w:val="007219F9"/>
    <w:rsid w:val="00722093"/>
    <w:rsid w:val="00722BA7"/>
    <w:rsid w:val="0072316B"/>
    <w:rsid w:val="00725DCB"/>
    <w:rsid w:val="00726438"/>
    <w:rsid w:val="0072703A"/>
    <w:rsid w:val="00727CDA"/>
    <w:rsid w:val="00727F50"/>
    <w:rsid w:val="00727FE4"/>
    <w:rsid w:val="00730251"/>
    <w:rsid w:val="007306CD"/>
    <w:rsid w:val="00730F7C"/>
    <w:rsid w:val="007316E5"/>
    <w:rsid w:val="00732782"/>
    <w:rsid w:val="00732E6B"/>
    <w:rsid w:val="00733801"/>
    <w:rsid w:val="00733B79"/>
    <w:rsid w:val="00733E42"/>
    <w:rsid w:val="00736F65"/>
    <w:rsid w:val="0073711B"/>
    <w:rsid w:val="00740C2E"/>
    <w:rsid w:val="007413FE"/>
    <w:rsid w:val="00742330"/>
    <w:rsid w:val="0074283C"/>
    <w:rsid w:val="0074367A"/>
    <w:rsid w:val="007441E7"/>
    <w:rsid w:val="00744466"/>
    <w:rsid w:val="007444B2"/>
    <w:rsid w:val="00744EE9"/>
    <w:rsid w:val="007451A5"/>
    <w:rsid w:val="007459A8"/>
    <w:rsid w:val="00745D16"/>
    <w:rsid w:val="00746451"/>
    <w:rsid w:val="00746459"/>
    <w:rsid w:val="007464B5"/>
    <w:rsid w:val="007510C0"/>
    <w:rsid w:val="00751E63"/>
    <w:rsid w:val="007522D2"/>
    <w:rsid w:val="00752C57"/>
    <w:rsid w:val="00753466"/>
    <w:rsid w:val="0075487F"/>
    <w:rsid w:val="007558E6"/>
    <w:rsid w:val="007605D9"/>
    <w:rsid w:val="007622CE"/>
    <w:rsid w:val="00763867"/>
    <w:rsid w:val="00763919"/>
    <w:rsid w:val="00764710"/>
    <w:rsid w:val="00765040"/>
    <w:rsid w:val="007656C9"/>
    <w:rsid w:val="00766081"/>
    <w:rsid w:val="007719DE"/>
    <w:rsid w:val="0077368F"/>
    <w:rsid w:val="0077391D"/>
    <w:rsid w:val="00774F89"/>
    <w:rsid w:val="00775578"/>
    <w:rsid w:val="00781058"/>
    <w:rsid w:val="00781243"/>
    <w:rsid w:val="007812C1"/>
    <w:rsid w:val="00781C88"/>
    <w:rsid w:val="007829EC"/>
    <w:rsid w:val="00782D20"/>
    <w:rsid w:val="00783765"/>
    <w:rsid w:val="00783C56"/>
    <w:rsid w:val="00783C66"/>
    <w:rsid w:val="007848FA"/>
    <w:rsid w:val="00784C8C"/>
    <w:rsid w:val="007855BF"/>
    <w:rsid w:val="00785A97"/>
    <w:rsid w:val="00786AAA"/>
    <w:rsid w:val="00786FDE"/>
    <w:rsid w:val="00787A38"/>
    <w:rsid w:val="00787D80"/>
    <w:rsid w:val="00790C35"/>
    <w:rsid w:val="00790F84"/>
    <w:rsid w:val="00795C94"/>
    <w:rsid w:val="00796159"/>
    <w:rsid w:val="00796739"/>
    <w:rsid w:val="007970BD"/>
    <w:rsid w:val="007A0DFB"/>
    <w:rsid w:val="007A1199"/>
    <w:rsid w:val="007A1A88"/>
    <w:rsid w:val="007A2946"/>
    <w:rsid w:val="007A2C22"/>
    <w:rsid w:val="007A348D"/>
    <w:rsid w:val="007A4408"/>
    <w:rsid w:val="007A5694"/>
    <w:rsid w:val="007A575F"/>
    <w:rsid w:val="007A62F6"/>
    <w:rsid w:val="007A65F6"/>
    <w:rsid w:val="007A6D47"/>
    <w:rsid w:val="007A7285"/>
    <w:rsid w:val="007B03BD"/>
    <w:rsid w:val="007B04CD"/>
    <w:rsid w:val="007B0578"/>
    <w:rsid w:val="007B2864"/>
    <w:rsid w:val="007B28BE"/>
    <w:rsid w:val="007B2A32"/>
    <w:rsid w:val="007B3A51"/>
    <w:rsid w:val="007B58E3"/>
    <w:rsid w:val="007B6173"/>
    <w:rsid w:val="007C00A4"/>
    <w:rsid w:val="007C31AA"/>
    <w:rsid w:val="007C449F"/>
    <w:rsid w:val="007C4D68"/>
    <w:rsid w:val="007C4DF8"/>
    <w:rsid w:val="007C5088"/>
    <w:rsid w:val="007C5B5B"/>
    <w:rsid w:val="007C5F29"/>
    <w:rsid w:val="007C61CC"/>
    <w:rsid w:val="007C6B44"/>
    <w:rsid w:val="007C723F"/>
    <w:rsid w:val="007C75C9"/>
    <w:rsid w:val="007C75FF"/>
    <w:rsid w:val="007C7D4F"/>
    <w:rsid w:val="007D393B"/>
    <w:rsid w:val="007D3E62"/>
    <w:rsid w:val="007D4323"/>
    <w:rsid w:val="007D5163"/>
    <w:rsid w:val="007D51DE"/>
    <w:rsid w:val="007D5BA5"/>
    <w:rsid w:val="007D5DBD"/>
    <w:rsid w:val="007D5E27"/>
    <w:rsid w:val="007D6900"/>
    <w:rsid w:val="007D69CB"/>
    <w:rsid w:val="007D6A34"/>
    <w:rsid w:val="007D6D19"/>
    <w:rsid w:val="007D707C"/>
    <w:rsid w:val="007D71FE"/>
    <w:rsid w:val="007E0F24"/>
    <w:rsid w:val="007E120D"/>
    <w:rsid w:val="007E1393"/>
    <w:rsid w:val="007E1414"/>
    <w:rsid w:val="007E1492"/>
    <w:rsid w:val="007E1D1F"/>
    <w:rsid w:val="007E25D2"/>
    <w:rsid w:val="007E31FA"/>
    <w:rsid w:val="007E4C5E"/>
    <w:rsid w:val="007E4D00"/>
    <w:rsid w:val="007E5BB7"/>
    <w:rsid w:val="007E5C4D"/>
    <w:rsid w:val="007E620B"/>
    <w:rsid w:val="007F010A"/>
    <w:rsid w:val="007F0EE9"/>
    <w:rsid w:val="007F0EFE"/>
    <w:rsid w:val="007F3474"/>
    <w:rsid w:val="007F3623"/>
    <w:rsid w:val="007F59F1"/>
    <w:rsid w:val="0080052F"/>
    <w:rsid w:val="008005A6"/>
    <w:rsid w:val="00800A6F"/>
    <w:rsid w:val="008010EA"/>
    <w:rsid w:val="008025ED"/>
    <w:rsid w:val="008027BF"/>
    <w:rsid w:val="00802810"/>
    <w:rsid w:val="008034C0"/>
    <w:rsid w:val="0080402F"/>
    <w:rsid w:val="00805118"/>
    <w:rsid w:val="0080544D"/>
    <w:rsid w:val="008058A9"/>
    <w:rsid w:val="0081127E"/>
    <w:rsid w:val="008120A9"/>
    <w:rsid w:val="00812136"/>
    <w:rsid w:val="00812F2B"/>
    <w:rsid w:val="008134EC"/>
    <w:rsid w:val="0081383F"/>
    <w:rsid w:val="00816986"/>
    <w:rsid w:val="0081777E"/>
    <w:rsid w:val="00820DFE"/>
    <w:rsid w:val="00822042"/>
    <w:rsid w:val="0082289F"/>
    <w:rsid w:val="008236F3"/>
    <w:rsid w:val="00823AA9"/>
    <w:rsid w:val="008242D1"/>
    <w:rsid w:val="0083056A"/>
    <w:rsid w:val="00830EBB"/>
    <w:rsid w:val="00831B7F"/>
    <w:rsid w:val="00832ADE"/>
    <w:rsid w:val="00832C65"/>
    <w:rsid w:val="00833E82"/>
    <w:rsid w:val="0083458F"/>
    <w:rsid w:val="00834F95"/>
    <w:rsid w:val="008358A2"/>
    <w:rsid w:val="008359F4"/>
    <w:rsid w:val="00836BB5"/>
    <w:rsid w:val="008376DC"/>
    <w:rsid w:val="0083798C"/>
    <w:rsid w:val="00837ABF"/>
    <w:rsid w:val="008400A7"/>
    <w:rsid w:val="00841126"/>
    <w:rsid w:val="00841848"/>
    <w:rsid w:val="00841EA1"/>
    <w:rsid w:val="00842578"/>
    <w:rsid w:val="00842FEF"/>
    <w:rsid w:val="00845B1F"/>
    <w:rsid w:val="008465D4"/>
    <w:rsid w:val="00847892"/>
    <w:rsid w:val="00850DA6"/>
    <w:rsid w:val="00853C7F"/>
    <w:rsid w:val="008566B2"/>
    <w:rsid w:val="008573EC"/>
    <w:rsid w:val="00857CC5"/>
    <w:rsid w:val="00857E58"/>
    <w:rsid w:val="008603EB"/>
    <w:rsid w:val="0086059B"/>
    <w:rsid w:val="0086109D"/>
    <w:rsid w:val="008611A4"/>
    <w:rsid w:val="0086132E"/>
    <w:rsid w:val="008621E8"/>
    <w:rsid w:val="00862862"/>
    <w:rsid w:val="00864412"/>
    <w:rsid w:val="00864F25"/>
    <w:rsid w:val="00866396"/>
    <w:rsid w:val="00866F6E"/>
    <w:rsid w:val="00866FCB"/>
    <w:rsid w:val="00866FE6"/>
    <w:rsid w:val="00867478"/>
    <w:rsid w:val="00871086"/>
    <w:rsid w:val="00871516"/>
    <w:rsid w:val="0087250F"/>
    <w:rsid w:val="008728F2"/>
    <w:rsid w:val="00872A3A"/>
    <w:rsid w:val="00872FC3"/>
    <w:rsid w:val="00873F7B"/>
    <w:rsid w:val="00874DD4"/>
    <w:rsid w:val="008755BB"/>
    <w:rsid w:val="00876B3B"/>
    <w:rsid w:val="0088001A"/>
    <w:rsid w:val="00880E95"/>
    <w:rsid w:val="008814D5"/>
    <w:rsid w:val="00882413"/>
    <w:rsid w:val="00882A6B"/>
    <w:rsid w:val="00883D3F"/>
    <w:rsid w:val="00885961"/>
    <w:rsid w:val="00885B72"/>
    <w:rsid w:val="00886CEE"/>
    <w:rsid w:val="00887E4E"/>
    <w:rsid w:val="00890884"/>
    <w:rsid w:val="00890972"/>
    <w:rsid w:val="00890B4A"/>
    <w:rsid w:val="00892B20"/>
    <w:rsid w:val="0089318E"/>
    <w:rsid w:val="008948D5"/>
    <w:rsid w:val="00894C05"/>
    <w:rsid w:val="00894E2C"/>
    <w:rsid w:val="00895989"/>
    <w:rsid w:val="008960F0"/>
    <w:rsid w:val="0089621E"/>
    <w:rsid w:val="008964E4"/>
    <w:rsid w:val="008A050E"/>
    <w:rsid w:val="008A0AEC"/>
    <w:rsid w:val="008A0E7C"/>
    <w:rsid w:val="008A0FBB"/>
    <w:rsid w:val="008A163B"/>
    <w:rsid w:val="008A2286"/>
    <w:rsid w:val="008A2EB7"/>
    <w:rsid w:val="008A3C28"/>
    <w:rsid w:val="008A4029"/>
    <w:rsid w:val="008A44D7"/>
    <w:rsid w:val="008A4E92"/>
    <w:rsid w:val="008A68DF"/>
    <w:rsid w:val="008A7EB0"/>
    <w:rsid w:val="008B0164"/>
    <w:rsid w:val="008B0ADE"/>
    <w:rsid w:val="008B0C68"/>
    <w:rsid w:val="008B0F6C"/>
    <w:rsid w:val="008B1CAC"/>
    <w:rsid w:val="008B2318"/>
    <w:rsid w:val="008B23C0"/>
    <w:rsid w:val="008B2623"/>
    <w:rsid w:val="008B4016"/>
    <w:rsid w:val="008B4223"/>
    <w:rsid w:val="008B4ED7"/>
    <w:rsid w:val="008B7161"/>
    <w:rsid w:val="008B77A3"/>
    <w:rsid w:val="008C14BA"/>
    <w:rsid w:val="008C16E1"/>
    <w:rsid w:val="008C2979"/>
    <w:rsid w:val="008C330F"/>
    <w:rsid w:val="008C6580"/>
    <w:rsid w:val="008C763D"/>
    <w:rsid w:val="008D0212"/>
    <w:rsid w:val="008D0A24"/>
    <w:rsid w:val="008D13EF"/>
    <w:rsid w:val="008D1CE3"/>
    <w:rsid w:val="008D3A91"/>
    <w:rsid w:val="008D4E40"/>
    <w:rsid w:val="008D4EEF"/>
    <w:rsid w:val="008D4F05"/>
    <w:rsid w:val="008D5527"/>
    <w:rsid w:val="008D5FD4"/>
    <w:rsid w:val="008D647A"/>
    <w:rsid w:val="008D795A"/>
    <w:rsid w:val="008E033F"/>
    <w:rsid w:val="008E042B"/>
    <w:rsid w:val="008E07F4"/>
    <w:rsid w:val="008E17DB"/>
    <w:rsid w:val="008E2594"/>
    <w:rsid w:val="008E27BF"/>
    <w:rsid w:val="008E4368"/>
    <w:rsid w:val="008E45B0"/>
    <w:rsid w:val="008F0AD4"/>
    <w:rsid w:val="008F14BB"/>
    <w:rsid w:val="008F16B9"/>
    <w:rsid w:val="008F2C5A"/>
    <w:rsid w:val="008F2DBA"/>
    <w:rsid w:val="008F2DCF"/>
    <w:rsid w:val="008F30F1"/>
    <w:rsid w:val="008F424C"/>
    <w:rsid w:val="008F5E60"/>
    <w:rsid w:val="008F699B"/>
    <w:rsid w:val="008F721B"/>
    <w:rsid w:val="0090067C"/>
    <w:rsid w:val="00901C4F"/>
    <w:rsid w:val="00901D50"/>
    <w:rsid w:val="00901E48"/>
    <w:rsid w:val="00901E72"/>
    <w:rsid w:val="00902419"/>
    <w:rsid w:val="00902945"/>
    <w:rsid w:val="009033CD"/>
    <w:rsid w:val="0090342F"/>
    <w:rsid w:val="00904FF0"/>
    <w:rsid w:val="00905D58"/>
    <w:rsid w:val="009065F7"/>
    <w:rsid w:val="00910842"/>
    <w:rsid w:val="009117C4"/>
    <w:rsid w:val="009117C6"/>
    <w:rsid w:val="009123D6"/>
    <w:rsid w:val="00913EBA"/>
    <w:rsid w:val="00914081"/>
    <w:rsid w:val="00914637"/>
    <w:rsid w:val="009153B3"/>
    <w:rsid w:val="00915556"/>
    <w:rsid w:val="00915BDF"/>
    <w:rsid w:val="0092075B"/>
    <w:rsid w:val="009221FB"/>
    <w:rsid w:val="00922BC4"/>
    <w:rsid w:val="009244D6"/>
    <w:rsid w:val="00926707"/>
    <w:rsid w:val="00926C7B"/>
    <w:rsid w:val="00930305"/>
    <w:rsid w:val="00930B46"/>
    <w:rsid w:val="009321E5"/>
    <w:rsid w:val="0093311C"/>
    <w:rsid w:val="009332AF"/>
    <w:rsid w:val="0093354C"/>
    <w:rsid w:val="009342A1"/>
    <w:rsid w:val="00935D7F"/>
    <w:rsid w:val="009367D9"/>
    <w:rsid w:val="00936EDF"/>
    <w:rsid w:val="00937F93"/>
    <w:rsid w:val="009404E5"/>
    <w:rsid w:val="00940FC8"/>
    <w:rsid w:val="009419D0"/>
    <w:rsid w:val="00941E1D"/>
    <w:rsid w:val="00945F5A"/>
    <w:rsid w:val="00951EED"/>
    <w:rsid w:val="00952CB7"/>
    <w:rsid w:val="00952F00"/>
    <w:rsid w:val="009537C1"/>
    <w:rsid w:val="00953D07"/>
    <w:rsid w:val="00954B2E"/>
    <w:rsid w:val="00955519"/>
    <w:rsid w:val="00955D01"/>
    <w:rsid w:val="0095610A"/>
    <w:rsid w:val="009575C3"/>
    <w:rsid w:val="00960619"/>
    <w:rsid w:val="009607A5"/>
    <w:rsid w:val="00960E62"/>
    <w:rsid w:val="00961303"/>
    <w:rsid w:val="00964037"/>
    <w:rsid w:val="00964C75"/>
    <w:rsid w:val="0096517E"/>
    <w:rsid w:val="0096596F"/>
    <w:rsid w:val="00965CE1"/>
    <w:rsid w:val="0096748A"/>
    <w:rsid w:val="009702EC"/>
    <w:rsid w:val="00971093"/>
    <w:rsid w:val="0097187A"/>
    <w:rsid w:val="009728F9"/>
    <w:rsid w:val="009737E2"/>
    <w:rsid w:val="00974202"/>
    <w:rsid w:val="009754FE"/>
    <w:rsid w:val="00975D0A"/>
    <w:rsid w:val="00976232"/>
    <w:rsid w:val="00976B68"/>
    <w:rsid w:val="00977439"/>
    <w:rsid w:val="00980486"/>
    <w:rsid w:val="00980D0C"/>
    <w:rsid w:val="009813A4"/>
    <w:rsid w:val="00982F33"/>
    <w:rsid w:val="0098351D"/>
    <w:rsid w:val="00983539"/>
    <w:rsid w:val="00985984"/>
    <w:rsid w:val="00985F5A"/>
    <w:rsid w:val="00986CC8"/>
    <w:rsid w:val="00987E29"/>
    <w:rsid w:val="00990548"/>
    <w:rsid w:val="0099056A"/>
    <w:rsid w:val="009905F6"/>
    <w:rsid w:val="00990A34"/>
    <w:rsid w:val="00991792"/>
    <w:rsid w:val="00991D7E"/>
    <w:rsid w:val="00991F7C"/>
    <w:rsid w:val="00991FEA"/>
    <w:rsid w:val="00993E3C"/>
    <w:rsid w:val="00993E91"/>
    <w:rsid w:val="00994A5D"/>
    <w:rsid w:val="00995AB8"/>
    <w:rsid w:val="00995BA7"/>
    <w:rsid w:val="009969E4"/>
    <w:rsid w:val="009A036A"/>
    <w:rsid w:val="009A08D5"/>
    <w:rsid w:val="009A2AB0"/>
    <w:rsid w:val="009A3374"/>
    <w:rsid w:val="009A38C7"/>
    <w:rsid w:val="009A3CAA"/>
    <w:rsid w:val="009A47E0"/>
    <w:rsid w:val="009A558E"/>
    <w:rsid w:val="009A6FB1"/>
    <w:rsid w:val="009B4B12"/>
    <w:rsid w:val="009B58F9"/>
    <w:rsid w:val="009B61B8"/>
    <w:rsid w:val="009B6E89"/>
    <w:rsid w:val="009B7EE3"/>
    <w:rsid w:val="009C1173"/>
    <w:rsid w:val="009C12EA"/>
    <w:rsid w:val="009C164D"/>
    <w:rsid w:val="009C1AD8"/>
    <w:rsid w:val="009C3ED3"/>
    <w:rsid w:val="009C4073"/>
    <w:rsid w:val="009C49CB"/>
    <w:rsid w:val="009C4EE0"/>
    <w:rsid w:val="009C543B"/>
    <w:rsid w:val="009C5F20"/>
    <w:rsid w:val="009C7BAE"/>
    <w:rsid w:val="009D1BE1"/>
    <w:rsid w:val="009D211F"/>
    <w:rsid w:val="009D3E68"/>
    <w:rsid w:val="009D4981"/>
    <w:rsid w:val="009D5573"/>
    <w:rsid w:val="009D5C03"/>
    <w:rsid w:val="009D6F1F"/>
    <w:rsid w:val="009D7C7E"/>
    <w:rsid w:val="009E0DF4"/>
    <w:rsid w:val="009E1421"/>
    <w:rsid w:val="009E2672"/>
    <w:rsid w:val="009E2DFE"/>
    <w:rsid w:val="009E4A74"/>
    <w:rsid w:val="009E526F"/>
    <w:rsid w:val="009E5ABA"/>
    <w:rsid w:val="009E6D9B"/>
    <w:rsid w:val="009E77E8"/>
    <w:rsid w:val="009F0C9A"/>
    <w:rsid w:val="009F123C"/>
    <w:rsid w:val="009F1868"/>
    <w:rsid w:val="009F203F"/>
    <w:rsid w:val="009F2B9C"/>
    <w:rsid w:val="009F4695"/>
    <w:rsid w:val="009F471B"/>
    <w:rsid w:val="009F4DF3"/>
    <w:rsid w:val="009F753D"/>
    <w:rsid w:val="00A000BD"/>
    <w:rsid w:val="00A00E40"/>
    <w:rsid w:val="00A0186A"/>
    <w:rsid w:val="00A0382C"/>
    <w:rsid w:val="00A042BF"/>
    <w:rsid w:val="00A05034"/>
    <w:rsid w:val="00A0556D"/>
    <w:rsid w:val="00A05D0D"/>
    <w:rsid w:val="00A06EEE"/>
    <w:rsid w:val="00A07B38"/>
    <w:rsid w:val="00A100E4"/>
    <w:rsid w:val="00A10180"/>
    <w:rsid w:val="00A102A7"/>
    <w:rsid w:val="00A11A83"/>
    <w:rsid w:val="00A12667"/>
    <w:rsid w:val="00A132C4"/>
    <w:rsid w:val="00A137D1"/>
    <w:rsid w:val="00A13EA9"/>
    <w:rsid w:val="00A152BC"/>
    <w:rsid w:val="00A156BC"/>
    <w:rsid w:val="00A158F9"/>
    <w:rsid w:val="00A15E07"/>
    <w:rsid w:val="00A160AB"/>
    <w:rsid w:val="00A16708"/>
    <w:rsid w:val="00A16F27"/>
    <w:rsid w:val="00A17687"/>
    <w:rsid w:val="00A202E4"/>
    <w:rsid w:val="00A20590"/>
    <w:rsid w:val="00A2100C"/>
    <w:rsid w:val="00A21DB8"/>
    <w:rsid w:val="00A21EAE"/>
    <w:rsid w:val="00A22A1A"/>
    <w:rsid w:val="00A24BC7"/>
    <w:rsid w:val="00A24D7C"/>
    <w:rsid w:val="00A25639"/>
    <w:rsid w:val="00A25A75"/>
    <w:rsid w:val="00A263B3"/>
    <w:rsid w:val="00A27725"/>
    <w:rsid w:val="00A308EB"/>
    <w:rsid w:val="00A339B8"/>
    <w:rsid w:val="00A34792"/>
    <w:rsid w:val="00A34C58"/>
    <w:rsid w:val="00A35246"/>
    <w:rsid w:val="00A3632A"/>
    <w:rsid w:val="00A4031E"/>
    <w:rsid w:val="00A40D0B"/>
    <w:rsid w:val="00A42073"/>
    <w:rsid w:val="00A427B5"/>
    <w:rsid w:val="00A42C1B"/>
    <w:rsid w:val="00A43EC0"/>
    <w:rsid w:val="00A45771"/>
    <w:rsid w:val="00A47360"/>
    <w:rsid w:val="00A51CD6"/>
    <w:rsid w:val="00A532C2"/>
    <w:rsid w:val="00A5377D"/>
    <w:rsid w:val="00A53958"/>
    <w:rsid w:val="00A53F4F"/>
    <w:rsid w:val="00A54A8B"/>
    <w:rsid w:val="00A55613"/>
    <w:rsid w:val="00A55657"/>
    <w:rsid w:val="00A5592B"/>
    <w:rsid w:val="00A575D5"/>
    <w:rsid w:val="00A61F57"/>
    <w:rsid w:val="00A6231B"/>
    <w:rsid w:val="00A62B0A"/>
    <w:rsid w:val="00A65D11"/>
    <w:rsid w:val="00A676D7"/>
    <w:rsid w:val="00A708BD"/>
    <w:rsid w:val="00A71872"/>
    <w:rsid w:val="00A723CF"/>
    <w:rsid w:val="00A73165"/>
    <w:rsid w:val="00A73385"/>
    <w:rsid w:val="00A73CD4"/>
    <w:rsid w:val="00A73DBD"/>
    <w:rsid w:val="00A74EDA"/>
    <w:rsid w:val="00A76116"/>
    <w:rsid w:val="00A76911"/>
    <w:rsid w:val="00A81371"/>
    <w:rsid w:val="00A82887"/>
    <w:rsid w:val="00A82959"/>
    <w:rsid w:val="00A82BBD"/>
    <w:rsid w:val="00A842C9"/>
    <w:rsid w:val="00A8435B"/>
    <w:rsid w:val="00A84C81"/>
    <w:rsid w:val="00A84E0D"/>
    <w:rsid w:val="00A850D7"/>
    <w:rsid w:val="00A859F9"/>
    <w:rsid w:val="00A86F30"/>
    <w:rsid w:val="00A86F43"/>
    <w:rsid w:val="00A87772"/>
    <w:rsid w:val="00A87EE7"/>
    <w:rsid w:val="00A90595"/>
    <w:rsid w:val="00A916E7"/>
    <w:rsid w:val="00A95484"/>
    <w:rsid w:val="00A9589E"/>
    <w:rsid w:val="00A971C4"/>
    <w:rsid w:val="00AA0644"/>
    <w:rsid w:val="00AA0664"/>
    <w:rsid w:val="00AA06D3"/>
    <w:rsid w:val="00AA191A"/>
    <w:rsid w:val="00AA32CA"/>
    <w:rsid w:val="00AA3A10"/>
    <w:rsid w:val="00AA522A"/>
    <w:rsid w:val="00AA522F"/>
    <w:rsid w:val="00AA6725"/>
    <w:rsid w:val="00AA78CC"/>
    <w:rsid w:val="00AB01F9"/>
    <w:rsid w:val="00AB4E4B"/>
    <w:rsid w:val="00AB551D"/>
    <w:rsid w:val="00AB6467"/>
    <w:rsid w:val="00AC15BC"/>
    <w:rsid w:val="00AC1831"/>
    <w:rsid w:val="00AC2040"/>
    <w:rsid w:val="00AC2567"/>
    <w:rsid w:val="00AC30C8"/>
    <w:rsid w:val="00AC3112"/>
    <w:rsid w:val="00AC375B"/>
    <w:rsid w:val="00AC4786"/>
    <w:rsid w:val="00AC5A36"/>
    <w:rsid w:val="00AC6BE1"/>
    <w:rsid w:val="00AC7A4A"/>
    <w:rsid w:val="00AD337E"/>
    <w:rsid w:val="00AD3F99"/>
    <w:rsid w:val="00AD41AD"/>
    <w:rsid w:val="00AD6E54"/>
    <w:rsid w:val="00AD79B4"/>
    <w:rsid w:val="00AD79C2"/>
    <w:rsid w:val="00AE0482"/>
    <w:rsid w:val="00AE18EE"/>
    <w:rsid w:val="00AE1A17"/>
    <w:rsid w:val="00AE2452"/>
    <w:rsid w:val="00AE2C20"/>
    <w:rsid w:val="00AE2E73"/>
    <w:rsid w:val="00AE36C7"/>
    <w:rsid w:val="00AE5E52"/>
    <w:rsid w:val="00AE727F"/>
    <w:rsid w:val="00AE77DB"/>
    <w:rsid w:val="00AE7F31"/>
    <w:rsid w:val="00AF0568"/>
    <w:rsid w:val="00AF0821"/>
    <w:rsid w:val="00AF087A"/>
    <w:rsid w:val="00AF2F6A"/>
    <w:rsid w:val="00AF391C"/>
    <w:rsid w:val="00AF3D33"/>
    <w:rsid w:val="00AF4B38"/>
    <w:rsid w:val="00AF4C3E"/>
    <w:rsid w:val="00AF58D5"/>
    <w:rsid w:val="00AF7772"/>
    <w:rsid w:val="00AF77A0"/>
    <w:rsid w:val="00B02964"/>
    <w:rsid w:val="00B03FEA"/>
    <w:rsid w:val="00B050CE"/>
    <w:rsid w:val="00B0550E"/>
    <w:rsid w:val="00B0671E"/>
    <w:rsid w:val="00B06BAD"/>
    <w:rsid w:val="00B06F6F"/>
    <w:rsid w:val="00B073D9"/>
    <w:rsid w:val="00B0770D"/>
    <w:rsid w:val="00B10AD2"/>
    <w:rsid w:val="00B119B9"/>
    <w:rsid w:val="00B138CD"/>
    <w:rsid w:val="00B13C70"/>
    <w:rsid w:val="00B14E34"/>
    <w:rsid w:val="00B157C8"/>
    <w:rsid w:val="00B158CF"/>
    <w:rsid w:val="00B16AD2"/>
    <w:rsid w:val="00B16F55"/>
    <w:rsid w:val="00B20797"/>
    <w:rsid w:val="00B20863"/>
    <w:rsid w:val="00B21DD9"/>
    <w:rsid w:val="00B2230C"/>
    <w:rsid w:val="00B246C2"/>
    <w:rsid w:val="00B26EDF"/>
    <w:rsid w:val="00B27851"/>
    <w:rsid w:val="00B3011C"/>
    <w:rsid w:val="00B30EE5"/>
    <w:rsid w:val="00B3103D"/>
    <w:rsid w:val="00B3297E"/>
    <w:rsid w:val="00B32CE3"/>
    <w:rsid w:val="00B33BD7"/>
    <w:rsid w:val="00B342E3"/>
    <w:rsid w:val="00B34933"/>
    <w:rsid w:val="00B357F2"/>
    <w:rsid w:val="00B35F74"/>
    <w:rsid w:val="00B360E2"/>
    <w:rsid w:val="00B371BA"/>
    <w:rsid w:val="00B40687"/>
    <w:rsid w:val="00B43E0A"/>
    <w:rsid w:val="00B478AC"/>
    <w:rsid w:val="00B47BBA"/>
    <w:rsid w:val="00B5032C"/>
    <w:rsid w:val="00B5088F"/>
    <w:rsid w:val="00B50A9E"/>
    <w:rsid w:val="00B51B6A"/>
    <w:rsid w:val="00B52743"/>
    <w:rsid w:val="00B52C09"/>
    <w:rsid w:val="00B53291"/>
    <w:rsid w:val="00B53F47"/>
    <w:rsid w:val="00B54445"/>
    <w:rsid w:val="00B55068"/>
    <w:rsid w:val="00B553F0"/>
    <w:rsid w:val="00B57A65"/>
    <w:rsid w:val="00B57EC3"/>
    <w:rsid w:val="00B57FF5"/>
    <w:rsid w:val="00B616D8"/>
    <w:rsid w:val="00B62806"/>
    <w:rsid w:val="00B64130"/>
    <w:rsid w:val="00B649EE"/>
    <w:rsid w:val="00B65724"/>
    <w:rsid w:val="00B65CC7"/>
    <w:rsid w:val="00B66003"/>
    <w:rsid w:val="00B668F7"/>
    <w:rsid w:val="00B72359"/>
    <w:rsid w:val="00B748BC"/>
    <w:rsid w:val="00B74917"/>
    <w:rsid w:val="00B7529B"/>
    <w:rsid w:val="00B7581F"/>
    <w:rsid w:val="00B758C1"/>
    <w:rsid w:val="00B76C4B"/>
    <w:rsid w:val="00B77775"/>
    <w:rsid w:val="00B80606"/>
    <w:rsid w:val="00B80D32"/>
    <w:rsid w:val="00B8136B"/>
    <w:rsid w:val="00B81803"/>
    <w:rsid w:val="00B8257E"/>
    <w:rsid w:val="00B8389E"/>
    <w:rsid w:val="00B85A11"/>
    <w:rsid w:val="00B874B2"/>
    <w:rsid w:val="00B87E23"/>
    <w:rsid w:val="00B9014D"/>
    <w:rsid w:val="00B917EB"/>
    <w:rsid w:val="00B935B0"/>
    <w:rsid w:val="00B9411C"/>
    <w:rsid w:val="00B950CE"/>
    <w:rsid w:val="00B960A2"/>
    <w:rsid w:val="00B97686"/>
    <w:rsid w:val="00BA01A8"/>
    <w:rsid w:val="00BA1E21"/>
    <w:rsid w:val="00BA3328"/>
    <w:rsid w:val="00BA577C"/>
    <w:rsid w:val="00BA59AA"/>
    <w:rsid w:val="00BA642F"/>
    <w:rsid w:val="00BA7186"/>
    <w:rsid w:val="00BA76A5"/>
    <w:rsid w:val="00BA7ADF"/>
    <w:rsid w:val="00BB29D8"/>
    <w:rsid w:val="00BB2C77"/>
    <w:rsid w:val="00BB3340"/>
    <w:rsid w:val="00BB620A"/>
    <w:rsid w:val="00BB6AA5"/>
    <w:rsid w:val="00BB75EF"/>
    <w:rsid w:val="00BC09D0"/>
    <w:rsid w:val="00BC3AFF"/>
    <w:rsid w:val="00BC3FE2"/>
    <w:rsid w:val="00BC420E"/>
    <w:rsid w:val="00BC60AE"/>
    <w:rsid w:val="00BD2E53"/>
    <w:rsid w:val="00BD2E96"/>
    <w:rsid w:val="00BD2F48"/>
    <w:rsid w:val="00BD360B"/>
    <w:rsid w:val="00BD5AE0"/>
    <w:rsid w:val="00BD6C6C"/>
    <w:rsid w:val="00BE0656"/>
    <w:rsid w:val="00BE0C64"/>
    <w:rsid w:val="00BE2FBA"/>
    <w:rsid w:val="00BE325F"/>
    <w:rsid w:val="00BE3A01"/>
    <w:rsid w:val="00BE499C"/>
    <w:rsid w:val="00BE4C7F"/>
    <w:rsid w:val="00BE5576"/>
    <w:rsid w:val="00BE5625"/>
    <w:rsid w:val="00BE59F2"/>
    <w:rsid w:val="00BE62D4"/>
    <w:rsid w:val="00BF10F6"/>
    <w:rsid w:val="00BF12EA"/>
    <w:rsid w:val="00BF469B"/>
    <w:rsid w:val="00BF578C"/>
    <w:rsid w:val="00BF6CB3"/>
    <w:rsid w:val="00C00200"/>
    <w:rsid w:val="00C03539"/>
    <w:rsid w:val="00C0384F"/>
    <w:rsid w:val="00C0400F"/>
    <w:rsid w:val="00C0485B"/>
    <w:rsid w:val="00C06296"/>
    <w:rsid w:val="00C07115"/>
    <w:rsid w:val="00C07262"/>
    <w:rsid w:val="00C106CA"/>
    <w:rsid w:val="00C10E85"/>
    <w:rsid w:val="00C1102D"/>
    <w:rsid w:val="00C129C5"/>
    <w:rsid w:val="00C14A46"/>
    <w:rsid w:val="00C14F52"/>
    <w:rsid w:val="00C159B8"/>
    <w:rsid w:val="00C15A87"/>
    <w:rsid w:val="00C15D84"/>
    <w:rsid w:val="00C16B79"/>
    <w:rsid w:val="00C1710A"/>
    <w:rsid w:val="00C22D6A"/>
    <w:rsid w:val="00C23151"/>
    <w:rsid w:val="00C23C71"/>
    <w:rsid w:val="00C24185"/>
    <w:rsid w:val="00C275E0"/>
    <w:rsid w:val="00C27AFC"/>
    <w:rsid w:val="00C300BB"/>
    <w:rsid w:val="00C31257"/>
    <w:rsid w:val="00C313DA"/>
    <w:rsid w:val="00C31EE6"/>
    <w:rsid w:val="00C329B4"/>
    <w:rsid w:val="00C32C84"/>
    <w:rsid w:val="00C335DA"/>
    <w:rsid w:val="00C33A8C"/>
    <w:rsid w:val="00C33CD2"/>
    <w:rsid w:val="00C34E95"/>
    <w:rsid w:val="00C3632B"/>
    <w:rsid w:val="00C37282"/>
    <w:rsid w:val="00C40A00"/>
    <w:rsid w:val="00C40C02"/>
    <w:rsid w:val="00C41AC2"/>
    <w:rsid w:val="00C4244C"/>
    <w:rsid w:val="00C43E66"/>
    <w:rsid w:val="00C448FE"/>
    <w:rsid w:val="00C44A96"/>
    <w:rsid w:val="00C4574A"/>
    <w:rsid w:val="00C4650A"/>
    <w:rsid w:val="00C4658A"/>
    <w:rsid w:val="00C47544"/>
    <w:rsid w:val="00C476E6"/>
    <w:rsid w:val="00C47B04"/>
    <w:rsid w:val="00C51CBD"/>
    <w:rsid w:val="00C5279A"/>
    <w:rsid w:val="00C52BB2"/>
    <w:rsid w:val="00C5316A"/>
    <w:rsid w:val="00C53C31"/>
    <w:rsid w:val="00C54312"/>
    <w:rsid w:val="00C54B9B"/>
    <w:rsid w:val="00C55833"/>
    <w:rsid w:val="00C55D04"/>
    <w:rsid w:val="00C5670F"/>
    <w:rsid w:val="00C5698F"/>
    <w:rsid w:val="00C5737D"/>
    <w:rsid w:val="00C574B2"/>
    <w:rsid w:val="00C575F7"/>
    <w:rsid w:val="00C60928"/>
    <w:rsid w:val="00C60B13"/>
    <w:rsid w:val="00C62144"/>
    <w:rsid w:val="00C62927"/>
    <w:rsid w:val="00C63220"/>
    <w:rsid w:val="00C63D66"/>
    <w:rsid w:val="00C64D5F"/>
    <w:rsid w:val="00C651F4"/>
    <w:rsid w:val="00C66AE8"/>
    <w:rsid w:val="00C70762"/>
    <w:rsid w:val="00C70B59"/>
    <w:rsid w:val="00C71056"/>
    <w:rsid w:val="00C71E6E"/>
    <w:rsid w:val="00C72B9F"/>
    <w:rsid w:val="00C72BBC"/>
    <w:rsid w:val="00C73F17"/>
    <w:rsid w:val="00C745DD"/>
    <w:rsid w:val="00C748EB"/>
    <w:rsid w:val="00C75003"/>
    <w:rsid w:val="00C758AA"/>
    <w:rsid w:val="00C76F2E"/>
    <w:rsid w:val="00C80E63"/>
    <w:rsid w:val="00C811AF"/>
    <w:rsid w:val="00C8152B"/>
    <w:rsid w:val="00C82724"/>
    <w:rsid w:val="00C831B1"/>
    <w:rsid w:val="00C83465"/>
    <w:rsid w:val="00C83A5E"/>
    <w:rsid w:val="00C86C11"/>
    <w:rsid w:val="00C87A16"/>
    <w:rsid w:val="00C90DD2"/>
    <w:rsid w:val="00C91E6C"/>
    <w:rsid w:val="00C921A8"/>
    <w:rsid w:val="00C92750"/>
    <w:rsid w:val="00C92E93"/>
    <w:rsid w:val="00C93F6B"/>
    <w:rsid w:val="00C950CA"/>
    <w:rsid w:val="00C97223"/>
    <w:rsid w:val="00CA0A18"/>
    <w:rsid w:val="00CA0E87"/>
    <w:rsid w:val="00CA1C1F"/>
    <w:rsid w:val="00CA2338"/>
    <w:rsid w:val="00CA29BA"/>
    <w:rsid w:val="00CA38F4"/>
    <w:rsid w:val="00CA5004"/>
    <w:rsid w:val="00CA6485"/>
    <w:rsid w:val="00CA6BFB"/>
    <w:rsid w:val="00CB0955"/>
    <w:rsid w:val="00CB0C46"/>
    <w:rsid w:val="00CB14FB"/>
    <w:rsid w:val="00CB2383"/>
    <w:rsid w:val="00CB2C6E"/>
    <w:rsid w:val="00CB34C1"/>
    <w:rsid w:val="00CB3F23"/>
    <w:rsid w:val="00CB552A"/>
    <w:rsid w:val="00CB71A9"/>
    <w:rsid w:val="00CB7321"/>
    <w:rsid w:val="00CC06F8"/>
    <w:rsid w:val="00CC0BC7"/>
    <w:rsid w:val="00CC1DF1"/>
    <w:rsid w:val="00CC324D"/>
    <w:rsid w:val="00CC49A6"/>
    <w:rsid w:val="00CC5E24"/>
    <w:rsid w:val="00CC6219"/>
    <w:rsid w:val="00CC6FD0"/>
    <w:rsid w:val="00CC7324"/>
    <w:rsid w:val="00CD0249"/>
    <w:rsid w:val="00CD0566"/>
    <w:rsid w:val="00CD1036"/>
    <w:rsid w:val="00CD10C6"/>
    <w:rsid w:val="00CD1A2F"/>
    <w:rsid w:val="00CD1A8D"/>
    <w:rsid w:val="00CD22F5"/>
    <w:rsid w:val="00CD32EB"/>
    <w:rsid w:val="00CD3635"/>
    <w:rsid w:val="00CD381F"/>
    <w:rsid w:val="00CD4D39"/>
    <w:rsid w:val="00CD4F45"/>
    <w:rsid w:val="00CD510F"/>
    <w:rsid w:val="00CD53FB"/>
    <w:rsid w:val="00CD5470"/>
    <w:rsid w:val="00CD591D"/>
    <w:rsid w:val="00CD670B"/>
    <w:rsid w:val="00CD6819"/>
    <w:rsid w:val="00CD6D90"/>
    <w:rsid w:val="00CD6ED2"/>
    <w:rsid w:val="00CD70F0"/>
    <w:rsid w:val="00CD7F8A"/>
    <w:rsid w:val="00CE0183"/>
    <w:rsid w:val="00CE0F23"/>
    <w:rsid w:val="00CE1104"/>
    <w:rsid w:val="00CE3CB3"/>
    <w:rsid w:val="00CE42D9"/>
    <w:rsid w:val="00CE5A31"/>
    <w:rsid w:val="00CE6F74"/>
    <w:rsid w:val="00CF0209"/>
    <w:rsid w:val="00CF0B54"/>
    <w:rsid w:val="00CF159C"/>
    <w:rsid w:val="00CF205F"/>
    <w:rsid w:val="00CF26BA"/>
    <w:rsid w:val="00CF3720"/>
    <w:rsid w:val="00CF4D3A"/>
    <w:rsid w:val="00CF50DB"/>
    <w:rsid w:val="00CF5144"/>
    <w:rsid w:val="00CF6CFA"/>
    <w:rsid w:val="00D013FB"/>
    <w:rsid w:val="00D01BBC"/>
    <w:rsid w:val="00D01E98"/>
    <w:rsid w:val="00D02A93"/>
    <w:rsid w:val="00D02E70"/>
    <w:rsid w:val="00D02F21"/>
    <w:rsid w:val="00D02F5D"/>
    <w:rsid w:val="00D030BB"/>
    <w:rsid w:val="00D03E40"/>
    <w:rsid w:val="00D06A04"/>
    <w:rsid w:val="00D10877"/>
    <w:rsid w:val="00D10CEE"/>
    <w:rsid w:val="00D11646"/>
    <w:rsid w:val="00D124FE"/>
    <w:rsid w:val="00D12F34"/>
    <w:rsid w:val="00D13DE1"/>
    <w:rsid w:val="00D14D3D"/>
    <w:rsid w:val="00D15A44"/>
    <w:rsid w:val="00D15A5F"/>
    <w:rsid w:val="00D15CA2"/>
    <w:rsid w:val="00D17D0E"/>
    <w:rsid w:val="00D20102"/>
    <w:rsid w:val="00D20233"/>
    <w:rsid w:val="00D21217"/>
    <w:rsid w:val="00D22249"/>
    <w:rsid w:val="00D22753"/>
    <w:rsid w:val="00D23BF3"/>
    <w:rsid w:val="00D247E5"/>
    <w:rsid w:val="00D24B5A"/>
    <w:rsid w:val="00D25A88"/>
    <w:rsid w:val="00D2644D"/>
    <w:rsid w:val="00D27443"/>
    <w:rsid w:val="00D27501"/>
    <w:rsid w:val="00D27A4D"/>
    <w:rsid w:val="00D313E6"/>
    <w:rsid w:val="00D3187D"/>
    <w:rsid w:val="00D31F01"/>
    <w:rsid w:val="00D32679"/>
    <w:rsid w:val="00D32740"/>
    <w:rsid w:val="00D34223"/>
    <w:rsid w:val="00D352A0"/>
    <w:rsid w:val="00D3540D"/>
    <w:rsid w:val="00D35CBB"/>
    <w:rsid w:val="00D41FAB"/>
    <w:rsid w:val="00D43949"/>
    <w:rsid w:val="00D44D8B"/>
    <w:rsid w:val="00D456BD"/>
    <w:rsid w:val="00D4602E"/>
    <w:rsid w:val="00D46172"/>
    <w:rsid w:val="00D463CA"/>
    <w:rsid w:val="00D4699C"/>
    <w:rsid w:val="00D478A0"/>
    <w:rsid w:val="00D5044A"/>
    <w:rsid w:val="00D50C08"/>
    <w:rsid w:val="00D510B6"/>
    <w:rsid w:val="00D51793"/>
    <w:rsid w:val="00D5387A"/>
    <w:rsid w:val="00D53A85"/>
    <w:rsid w:val="00D53EB0"/>
    <w:rsid w:val="00D54AFF"/>
    <w:rsid w:val="00D55FE7"/>
    <w:rsid w:val="00D56D47"/>
    <w:rsid w:val="00D60180"/>
    <w:rsid w:val="00D60834"/>
    <w:rsid w:val="00D60C54"/>
    <w:rsid w:val="00D61512"/>
    <w:rsid w:val="00D637A6"/>
    <w:rsid w:val="00D67593"/>
    <w:rsid w:val="00D70980"/>
    <w:rsid w:val="00D71B8C"/>
    <w:rsid w:val="00D71F23"/>
    <w:rsid w:val="00D73151"/>
    <w:rsid w:val="00D73F62"/>
    <w:rsid w:val="00D75CC9"/>
    <w:rsid w:val="00D778A2"/>
    <w:rsid w:val="00D81186"/>
    <w:rsid w:val="00D8148A"/>
    <w:rsid w:val="00D8395A"/>
    <w:rsid w:val="00D83F5A"/>
    <w:rsid w:val="00D84A99"/>
    <w:rsid w:val="00D851E1"/>
    <w:rsid w:val="00D85556"/>
    <w:rsid w:val="00D85ACC"/>
    <w:rsid w:val="00D85D56"/>
    <w:rsid w:val="00D869EE"/>
    <w:rsid w:val="00D87BAD"/>
    <w:rsid w:val="00D87D2E"/>
    <w:rsid w:val="00D91749"/>
    <w:rsid w:val="00D91E8C"/>
    <w:rsid w:val="00D93068"/>
    <w:rsid w:val="00D951DE"/>
    <w:rsid w:val="00D95BCE"/>
    <w:rsid w:val="00D96DB7"/>
    <w:rsid w:val="00D979CD"/>
    <w:rsid w:val="00D97AC1"/>
    <w:rsid w:val="00DA1834"/>
    <w:rsid w:val="00DA1D7D"/>
    <w:rsid w:val="00DA3986"/>
    <w:rsid w:val="00DA704E"/>
    <w:rsid w:val="00DB0225"/>
    <w:rsid w:val="00DB33DE"/>
    <w:rsid w:val="00DB35A9"/>
    <w:rsid w:val="00DB53BC"/>
    <w:rsid w:val="00DB5760"/>
    <w:rsid w:val="00DB6C0B"/>
    <w:rsid w:val="00DB727B"/>
    <w:rsid w:val="00DC0486"/>
    <w:rsid w:val="00DC0CBE"/>
    <w:rsid w:val="00DC17F0"/>
    <w:rsid w:val="00DC23F9"/>
    <w:rsid w:val="00DC2884"/>
    <w:rsid w:val="00DC2E9A"/>
    <w:rsid w:val="00DC3139"/>
    <w:rsid w:val="00DC4790"/>
    <w:rsid w:val="00DC4A75"/>
    <w:rsid w:val="00DC5B7A"/>
    <w:rsid w:val="00DC5CC3"/>
    <w:rsid w:val="00DC685E"/>
    <w:rsid w:val="00DC6D11"/>
    <w:rsid w:val="00DC780A"/>
    <w:rsid w:val="00DC7EBF"/>
    <w:rsid w:val="00DD010F"/>
    <w:rsid w:val="00DD1D5B"/>
    <w:rsid w:val="00DD356E"/>
    <w:rsid w:val="00DD3DC9"/>
    <w:rsid w:val="00DD5CE5"/>
    <w:rsid w:val="00DD6F04"/>
    <w:rsid w:val="00DD6F31"/>
    <w:rsid w:val="00DD7124"/>
    <w:rsid w:val="00DE01DB"/>
    <w:rsid w:val="00DE025A"/>
    <w:rsid w:val="00DE0AA4"/>
    <w:rsid w:val="00DE1241"/>
    <w:rsid w:val="00DE2392"/>
    <w:rsid w:val="00DE2A7C"/>
    <w:rsid w:val="00DE31EA"/>
    <w:rsid w:val="00DE3AB9"/>
    <w:rsid w:val="00DE4E0B"/>
    <w:rsid w:val="00DE59E6"/>
    <w:rsid w:val="00DE70CE"/>
    <w:rsid w:val="00DE7726"/>
    <w:rsid w:val="00DF135B"/>
    <w:rsid w:val="00DF2DE1"/>
    <w:rsid w:val="00DF31AF"/>
    <w:rsid w:val="00DF35D1"/>
    <w:rsid w:val="00DF3D57"/>
    <w:rsid w:val="00DF799E"/>
    <w:rsid w:val="00DF79F9"/>
    <w:rsid w:val="00DF7E0C"/>
    <w:rsid w:val="00E002D9"/>
    <w:rsid w:val="00E00CD9"/>
    <w:rsid w:val="00E01E14"/>
    <w:rsid w:val="00E02B96"/>
    <w:rsid w:val="00E03406"/>
    <w:rsid w:val="00E055CA"/>
    <w:rsid w:val="00E06ABF"/>
    <w:rsid w:val="00E12552"/>
    <w:rsid w:val="00E12AF6"/>
    <w:rsid w:val="00E13706"/>
    <w:rsid w:val="00E137BD"/>
    <w:rsid w:val="00E17301"/>
    <w:rsid w:val="00E20405"/>
    <w:rsid w:val="00E21B90"/>
    <w:rsid w:val="00E21E71"/>
    <w:rsid w:val="00E221DD"/>
    <w:rsid w:val="00E237AA"/>
    <w:rsid w:val="00E25408"/>
    <w:rsid w:val="00E26288"/>
    <w:rsid w:val="00E265F4"/>
    <w:rsid w:val="00E266C6"/>
    <w:rsid w:val="00E270A7"/>
    <w:rsid w:val="00E27E20"/>
    <w:rsid w:val="00E31341"/>
    <w:rsid w:val="00E313C3"/>
    <w:rsid w:val="00E32470"/>
    <w:rsid w:val="00E34625"/>
    <w:rsid w:val="00E346FF"/>
    <w:rsid w:val="00E34A54"/>
    <w:rsid w:val="00E34D26"/>
    <w:rsid w:val="00E405C9"/>
    <w:rsid w:val="00E40FE3"/>
    <w:rsid w:val="00E4149D"/>
    <w:rsid w:val="00E433B8"/>
    <w:rsid w:val="00E43594"/>
    <w:rsid w:val="00E437E3"/>
    <w:rsid w:val="00E43F2D"/>
    <w:rsid w:val="00E44F6F"/>
    <w:rsid w:val="00E45006"/>
    <w:rsid w:val="00E451A5"/>
    <w:rsid w:val="00E45CFE"/>
    <w:rsid w:val="00E4715A"/>
    <w:rsid w:val="00E4773C"/>
    <w:rsid w:val="00E50F67"/>
    <w:rsid w:val="00E50FB6"/>
    <w:rsid w:val="00E50FC3"/>
    <w:rsid w:val="00E52CC6"/>
    <w:rsid w:val="00E52FCD"/>
    <w:rsid w:val="00E53794"/>
    <w:rsid w:val="00E54B34"/>
    <w:rsid w:val="00E54FDF"/>
    <w:rsid w:val="00E5516B"/>
    <w:rsid w:val="00E5530B"/>
    <w:rsid w:val="00E5539B"/>
    <w:rsid w:val="00E55BED"/>
    <w:rsid w:val="00E56BF9"/>
    <w:rsid w:val="00E574F8"/>
    <w:rsid w:val="00E61734"/>
    <w:rsid w:val="00E61FDB"/>
    <w:rsid w:val="00E62A60"/>
    <w:rsid w:val="00E634B4"/>
    <w:rsid w:val="00E636F8"/>
    <w:rsid w:val="00E63F09"/>
    <w:rsid w:val="00E640FB"/>
    <w:rsid w:val="00E64DBF"/>
    <w:rsid w:val="00E65BC1"/>
    <w:rsid w:val="00E67ACA"/>
    <w:rsid w:val="00E70752"/>
    <w:rsid w:val="00E72171"/>
    <w:rsid w:val="00E721F3"/>
    <w:rsid w:val="00E72EE6"/>
    <w:rsid w:val="00E74443"/>
    <w:rsid w:val="00E74E67"/>
    <w:rsid w:val="00E7653F"/>
    <w:rsid w:val="00E76B7F"/>
    <w:rsid w:val="00E76DE3"/>
    <w:rsid w:val="00E77F6A"/>
    <w:rsid w:val="00E77FC2"/>
    <w:rsid w:val="00E802E6"/>
    <w:rsid w:val="00E80CE6"/>
    <w:rsid w:val="00E83248"/>
    <w:rsid w:val="00E87275"/>
    <w:rsid w:val="00E878FE"/>
    <w:rsid w:val="00E91E48"/>
    <w:rsid w:val="00E934E2"/>
    <w:rsid w:val="00E93741"/>
    <w:rsid w:val="00E93D4A"/>
    <w:rsid w:val="00E95AE8"/>
    <w:rsid w:val="00E97BE5"/>
    <w:rsid w:val="00EA0B5C"/>
    <w:rsid w:val="00EA1086"/>
    <w:rsid w:val="00EA14B6"/>
    <w:rsid w:val="00EA1D6E"/>
    <w:rsid w:val="00EA239D"/>
    <w:rsid w:val="00EA297D"/>
    <w:rsid w:val="00EA34FF"/>
    <w:rsid w:val="00EA391F"/>
    <w:rsid w:val="00EA46AA"/>
    <w:rsid w:val="00EA4EC6"/>
    <w:rsid w:val="00EA5665"/>
    <w:rsid w:val="00EA575D"/>
    <w:rsid w:val="00EA6507"/>
    <w:rsid w:val="00EA651A"/>
    <w:rsid w:val="00EB027C"/>
    <w:rsid w:val="00EB16BA"/>
    <w:rsid w:val="00EB1BFE"/>
    <w:rsid w:val="00EB2112"/>
    <w:rsid w:val="00EB22B7"/>
    <w:rsid w:val="00EB3775"/>
    <w:rsid w:val="00EB3AB1"/>
    <w:rsid w:val="00EB3E70"/>
    <w:rsid w:val="00EB4BA5"/>
    <w:rsid w:val="00EB4D7A"/>
    <w:rsid w:val="00EB5963"/>
    <w:rsid w:val="00EB66C5"/>
    <w:rsid w:val="00EB6EC5"/>
    <w:rsid w:val="00EB7129"/>
    <w:rsid w:val="00EC1594"/>
    <w:rsid w:val="00EC43AC"/>
    <w:rsid w:val="00EC73D8"/>
    <w:rsid w:val="00ED05BF"/>
    <w:rsid w:val="00ED07AB"/>
    <w:rsid w:val="00ED2A0C"/>
    <w:rsid w:val="00ED3A51"/>
    <w:rsid w:val="00ED4125"/>
    <w:rsid w:val="00ED4562"/>
    <w:rsid w:val="00ED4FEB"/>
    <w:rsid w:val="00ED589E"/>
    <w:rsid w:val="00ED7448"/>
    <w:rsid w:val="00ED7622"/>
    <w:rsid w:val="00EE013F"/>
    <w:rsid w:val="00EE0A20"/>
    <w:rsid w:val="00EE0D74"/>
    <w:rsid w:val="00EE12E1"/>
    <w:rsid w:val="00EE13C3"/>
    <w:rsid w:val="00EE1B85"/>
    <w:rsid w:val="00EE1D76"/>
    <w:rsid w:val="00EE4C4D"/>
    <w:rsid w:val="00EE746F"/>
    <w:rsid w:val="00EF0069"/>
    <w:rsid w:val="00EF08EC"/>
    <w:rsid w:val="00EF09DC"/>
    <w:rsid w:val="00EF20C5"/>
    <w:rsid w:val="00EF20C6"/>
    <w:rsid w:val="00EF4729"/>
    <w:rsid w:val="00EF5582"/>
    <w:rsid w:val="00EF648D"/>
    <w:rsid w:val="00EF6E2E"/>
    <w:rsid w:val="00F0124A"/>
    <w:rsid w:val="00F01CA2"/>
    <w:rsid w:val="00F02BC7"/>
    <w:rsid w:val="00F030D2"/>
    <w:rsid w:val="00F03306"/>
    <w:rsid w:val="00F03FC3"/>
    <w:rsid w:val="00F040F5"/>
    <w:rsid w:val="00F04600"/>
    <w:rsid w:val="00F0520A"/>
    <w:rsid w:val="00F05420"/>
    <w:rsid w:val="00F05485"/>
    <w:rsid w:val="00F05A24"/>
    <w:rsid w:val="00F06558"/>
    <w:rsid w:val="00F06A67"/>
    <w:rsid w:val="00F06D41"/>
    <w:rsid w:val="00F10D2F"/>
    <w:rsid w:val="00F140D9"/>
    <w:rsid w:val="00F1433B"/>
    <w:rsid w:val="00F15848"/>
    <w:rsid w:val="00F1665C"/>
    <w:rsid w:val="00F169CF"/>
    <w:rsid w:val="00F16AA9"/>
    <w:rsid w:val="00F16C60"/>
    <w:rsid w:val="00F200FF"/>
    <w:rsid w:val="00F21C13"/>
    <w:rsid w:val="00F221D6"/>
    <w:rsid w:val="00F2365B"/>
    <w:rsid w:val="00F2376D"/>
    <w:rsid w:val="00F23CF7"/>
    <w:rsid w:val="00F2484D"/>
    <w:rsid w:val="00F254F4"/>
    <w:rsid w:val="00F2575A"/>
    <w:rsid w:val="00F2731B"/>
    <w:rsid w:val="00F2770F"/>
    <w:rsid w:val="00F3045B"/>
    <w:rsid w:val="00F30B1A"/>
    <w:rsid w:val="00F3150E"/>
    <w:rsid w:val="00F328A5"/>
    <w:rsid w:val="00F32D1B"/>
    <w:rsid w:val="00F33B9E"/>
    <w:rsid w:val="00F33F40"/>
    <w:rsid w:val="00F348D8"/>
    <w:rsid w:val="00F34E7F"/>
    <w:rsid w:val="00F35ABC"/>
    <w:rsid w:val="00F3666C"/>
    <w:rsid w:val="00F36BF7"/>
    <w:rsid w:val="00F40B9C"/>
    <w:rsid w:val="00F41423"/>
    <w:rsid w:val="00F4179C"/>
    <w:rsid w:val="00F41F42"/>
    <w:rsid w:val="00F423E7"/>
    <w:rsid w:val="00F431D5"/>
    <w:rsid w:val="00F435FA"/>
    <w:rsid w:val="00F43C6C"/>
    <w:rsid w:val="00F44138"/>
    <w:rsid w:val="00F46319"/>
    <w:rsid w:val="00F4634A"/>
    <w:rsid w:val="00F468DC"/>
    <w:rsid w:val="00F46D13"/>
    <w:rsid w:val="00F47336"/>
    <w:rsid w:val="00F4758D"/>
    <w:rsid w:val="00F4788B"/>
    <w:rsid w:val="00F503A0"/>
    <w:rsid w:val="00F50E46"/>
    <w:rsid w:val="00F526CD"/>
    <w:rsid w:val="00F54702"/>
    <w:rsid w:val="00F548AB"/>
    <w:rsid w:val="00F5684D"/>
    <w:rsid w:val="00F6030F"/>
    <w:rsid w:val="00F60D73"/>
    <w:rsid w:val="00F61167"/>
    <w:rsid w:val="00F61A8C"/>
    <w:rsid w:val="00F62120"/>
    <w:rsid w:val="00F6515E"/>
    <w:rsid w:val="00F66E3F"/>
    <w:rsid w:val="00F67178"/>
    <w:rsid w:val="00F70F74"/>
    <w:rsid w:val="00F7197B"/>
    <w:rsid w:val="00F74007"/>
    <w:rsid w:val="00F804B2"/>
    <w:rsid w:val="00F80735"/>
    <w:rsid w:val="00F8073B"/>
    <w:rsid w:val="00F82098"/>
    <w:rsid w:val="00F830E4"/>
    <w:rsid w:val="00F834CE"/>
    <w:rsid w:val="00F8437B"/>
    <w:rsid w:val="00F8550A"/>
    <w:rsid w:val="00F86CAE"/>
    <w:rsid w:val="00F87545"/>
    <w:rsid w:val="00F90226"/>
    <w:rsid w:val="00F90369"/>
    <w:rsid w:val="00F944D4"/>
    <w:rsid w:val="00F94555"/>
    <w:rsid w:val="00F94B39"/>
    <w:rsid w:val="00F94F3F"/>
    <w:rsid w:val="00F951F2"/>
    <w:rsid w:val="00FA289E"/>
    <w:rsid w:val="00FA2FD4"/>
    <w:rsid w:val="00FA32C8"/>
    <w:rsid w:val="00FA34EE"/>
    <w:rsid w:val="00FA3F38"/>
    <w:rsid w:val="00FA5A75"/>
    <w:rsid w:val="00FA5B4D"/>
    <w:rsid w:val="00FB1DA9"/>
    <w:rsid w:val="00FB284B"/>
    <w:rsid w:val="00FB29A0"/>
    <w:rsid w:val="00FB3C9D"/>
    <w:rsid w:val="00FB4A9E"/>
    <w:rsid w:val="00FB4CBE"/>
    <w:rsid w:val="00FB4FE4"/>
    <w:rsid w:val="00FB564F"/>
    <w:rsid w:val="00FB5CB9"/>
    <w:rsid w:val="00FC0CF7"/>
    <w:rsid w:val="00FC1CCA"/>
    <w:rsid w:val="00FC276D"/>
    <w:rsid w:val="00FC29B5"/>
    <w:rsid w:val="00FC4158"/>
    <w:rsid w:val="00FC63DF"/>
    <w:rsid w:val="00FC70AA"/>
    <w:rsid w:val="00FC7295"/>
    <w:rsid w:val="00FC7452"/>
    <w:rsid w:val="00FC7E87"/>
    <w:rsid w:val="00FC7FBF"/>
    <w:rsid w:val="00FD05E1"/>
    <w:rsid w:val="00FD086F"/>
    <w:rsid w:val="00FD0E20"/>
    <w:rsid w:val="00FD2F73"/>
    <w:rsid w:val="00FD3877"/>
    <w:rsid w:val="00FD3C72"/>
    <w:rsid w:val="00FD3C9D"/>
    <w:rsid w:val="00FD3C9F"/>
    <w:rsid w:val="00FD507B"/>
    <w:rsid w:val="00FD70C5"/>
    <w:rsid w:val="00FE01AA"/>
    <w:rsid w:val="00FE0E9C"/>
    <w:rsid w:val="00FE2CF0"/>
    <w:rsid w:val="00FE3312"/>
    <w:rsid w:val="00FE50A3"/>
    <w:rsid w:val="00FE5842"/>
    <w:rsid w:val="00FE6BA2"/>
    <w:rsid w:val="00FE6C7D"/>
    <w:rsid w:val="00FE6CAA"/>
    <w:rsid w:val="00FF0B49"/>
    <w:rsid w:val="00FF148C"/>
    <w:rsid w:val="00FF3241"/>
    <w:rsid w:val="00FF3813"/>
    <w:rsid w:val="00FF3C88"/>
    <w:rsid w:val="00FF416A"/>
    <w:rsid w:val="00FF43D0"/>
    <w:rsid w:val="00FF4C00"/>
    <w:rsid w:val="00FF6252"/>
    <w:rsid w:val="00FF6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E9514"/>
  <w15:chartTrackingRefBased/>
  <w15:docId w15:val="{5BEB6766-A35D-4FC1-BC06-78B63575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054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CAIndentabc">
    <w:name w:val="FCA Indent a_b_c"/>
    <w:basedOn w:val="Paragrafoelenco"/>
    <w:uiPriority w:val="6"/>
    <w:qFormat/>
    <w:rsid w:val="00232697"/>
    <w:pPr>
      <w:numPr>
        <w:ilvl w:val="6"/>
        <w:numId w:val="1"/>
      </w:numPr>
      <w:tabs>
        <w:tab w:val="clear" w:pos="1418"/>
        <w:tab w:val="num" w:pos="360"/>
      </w:tabs>
      <w:ind w:left="720" w:firstLine="0"/>
      <w:contextualSpacing w:val="0"/>
    </w:pPr>
  </w:style>
  <w:style w:type="paragraph" w:styleId="Pidipagina">
    <w:name w:val="footer"/>
    <w:basedOn w:val="Normale"/>
    <w:link w:val="PidipaginaCarattere"/>
    <w:uiPriority w:val="99"/>
    <w:rsid w:val="00232697"/>
    <w:pPr>
      <w:tabs>
        <w:tab w:val="center" w:pos="4513"/>
        <w:tab w:val="right" w:pos="9026"/>
      </w:tabs>
      <w:spacing w:after="240" w:line="264" w:lineRule="auto"/>
    </w:pPr>
    <w:rPr>
      <w:rFonts w:ascii="Verdana" w:eastAsia="MS Mincho" w:hAnsi="Verdana" w:cs="Times New Roman"/>
      <w:sz w:val="18"/>
      <w:szCs w:val="20"/>
      <w:lang w:val="en-GB" w:eastAsia="en-GB"/>
    </w:rPr>
  </w:style>
  <w:style w:type="character" w:customStyle="1" w:styleId="PidipaginaCarattere">
    <w:name w:val="Piè di pagina Carattere"/>
    <w:basedOn w:val="Carpredefinitoparagrafo"/>
    <w:link w:val="Pidipagina"/>
    <w:uiPriority w:val="99"/>
    <w:rsid w:val="00232697"/>
    <w:rPr>
      <w:rFonts w:ascii="Verdana" w:eastAsia="MS Mincho" w:hAnsi="Verdana" w:cs="Times New Roman"/>
      <w:sz w:val="18"/>
      <w:szCs w:val="20"/>
      <w:lang w:val="en-GB" w:eastAsia="en-GB"/>
    </w:rPr>
  </w:style>
  <w:style w:type="paragraph" w:customStyle="1" w:styleId="FCABodyText">
    <w:name w:val="FCA Body Text"/>
    <w:basedOn w:val="Normale"/>
    <w:uiPriority w:val="5"/>
    <w:qFormat/>
    <w:rsid w:val="00232697"/>
    <w:pPr>
      <w:numPr>
        <w:ilvl w:val="3"/>
        <w:numId w:val="1"/>
      </w:numPr>
      <w:tabs>
        <w:tab w:val="clear" w:pos="0"/>
        <w:tab w:val="num" w:pos="360"/>
      </w:tabs>
      <w:spacing w:after="240" w:line="264" w:lineRule="auto"/>
    </w:pPr>
    <w:rPr>
      <w:rFonts w:ascii="Verdana" w:eastAsia="MS Mincho" w:hAnsi="Verdana" w:cs="Times New Roman"/>
      <w:sz w:val="20"/>
      <w:szCs w:val="20"/>
      <w:lang w:val="en-GB" w:eastAsia="en-GB"/>
    </w:rPr>
  </w:style>
  <w:style w:type="paragraph" w:customStyle="1" w:styleId="FCABulletText">
    <w:name w:val="FCA Bullet Text"/>
    <w:basedOn w:val="FCABodyText"/>
    <w:uiPriority w:val="5"/>
    <w:qFormat/>
    <w:rsid w:val="00232697"/>
    <w:pPr>
      <w:numPr>
        <w:ilvl w:val="4"/>
      </w:numPr>
      <w:tabs>
        <w:tab w:val="clear" w:pos="720"/>
        <w:tab w:val="num" w:pos="360"/>
      </w:tabs>
      <w:ind w:left="0" w:firstLine="0"/>
    </w:pPr>
  </w:style>
  <w:style w:type="paragraph" w:customStyle="1" w:styleId="FCAIndentBullet">
    <w:name w:val="FCA Indent Bullet"/>
    <w:basedOn w:val="Normale"/>
    <w:uiPriority w:val="6"/>
    <w:qFormat/>
    <w:rsid w:val="00232697"/>
    <w:pPr>
      <w:numPr>
        <w:ilvl w:val="7"/>
        <w:numId w:val="1"/>
      </w:numPr>
      <w:spacing w:after="240" w:line="264" w:lineRule="auto"/>
    </w:pPr>
    <w:rPr>
      <w:rFonts w:ascii="Verdana" w:eastAsia="MS Mincho" w:hAnsi="Verdana" w:cs="Times New Roman"/>
      <w:sz w:val="20"/>
      <w:szCs w:val="20"/>
      <w:lang w:val="en-GB" w:eastAsia="en-GB"/>
    </w:rPr>
  </w:style>
  <w:style w:type="paragraph" w:styleId="Intestazione">
    <w:name w:val="header"/>
    <w:basedOn w:val="Normale"/>
    <w:link w:val="IntestazioneCarattere"/>
    <w:semiHidden/>
    <w:rsid w:val="00232697"/>
    <w:pPr>
      <w:tabs>
        <w:tab w:val="center" w:pos="4513"/>
        <w:tab w:val="right" w:pos="9026"/>
      </w:tabs>
      <w:spacing w:after="0" w:line="264" w:lineRule="auto"/>
    </w:pPr>
    <w:rPr>
      <w:rFonts w:ascii="Verdana" w:eastAsia="MS Mincho" w:hAnsi="Verdana" w:cs="Times New Roman"/>
      <w:sz w:val="20"/>
      <w:szCs w:val="20"/>
      <w:lang w:val="en-GB" w:eastAsia="en-GB"/>
    </w:rPr>
  </w:style>
  <w:style w:type="character" w:customStyle="1" w:styleId="IntestazioneCarattere">
    <w:name w:val="Intestazione Carattere"/>
    <w:basedOn w:val="Carpredefinitoparagrafo"/>
    <w:link w:val="Intestazione"/>
    <w:semiHidden/>
    <w:rsid w:val="00232697"/>
    <w:rPr>
      <w:rFonts w:ascii="Verdana" w:eastAsia="MS Mincho" w:hAnsi="Verdana" w:cs="Times New Roman"/>
      <w:sz w:val="20"/>
      <w:szCs w:val="20"/>
      <w:lang w:val="en-GB" w:eastAsia="en-GB"/>
    </w:rPr>
  </w:style>
  <w:style w:type="paragraph" w:customStyle="1" w:styleId="FCAHeadingLevel2">
    <w:name w:val="FCA Heading Level 2"/>
    <w:basedOn w:val="Normale"/>
    <w:uiPriority w:val="4"/>
    <w:qFormat/>
    <w:rsid w:val="00232697"/>
    <w:pPr>
      <w:numPr>
        <w:ilvl w:val="1"/>
        <w:numId w:val="1"/>
      </w:numPr>
      <w:spacing w:before="240" w:after="120" w:line="264" w:lineRule="auto"/>
    </w:pPr>
    <w:rPr>
      <w:rFonts w:ascii="Verdana" w:eastAsia="MS Mincho" w:hAnsi="Verdana" w:cs="Times New Roman"/>
      <w:b/>
      <w:sz w:val="21"/>
      <w:szCs w:val="21"/>
      <w:lang w:val="en-GB" w:eastAsia="en-GB"/>
    </w:rPr>
  </w:style>
  <w:style w:type="paragraph" w:customStyle="1" w:styleId="FCAHeadingLevel3">
    <w:name w:val="FCA Heading Level 3"/>
    <w:basedOn w:val="Normale"/>
    <w:uiPriority w:val="4"/>
    <w:qFormat/>
    <w:rsid w:val="00232697"/>
    <w:pPr>
      <w:numPr>
        <w:ilvl w:val="2"/>
        <w:numId w:val="1"/>
      </w:numPr>
      <w:spacing w:after="120" w:line="264" w:lineRule="auto"/>
    </w:pPr>
    <w:rPr>
      <w:rFonts w:ascii="Verdana" w:eastAsia="MS Mincho" w:hAnsi="Verdana" w:cs="Times New Roman"/>
      <w:b/>
      <w:i/>
      <w:sz w:val="20"/>
      <w:szCs w:val="20"/>
      <w:lang w:val="en-GB" w:eastAsia="en-GB"/>
    </w:rPr>
  </w:style>
  <w:style w:type="paragraph" w:customStyle="1" w:styleId="FCABullet123">
    <w:name w:val="FCA Bullet 1_2_3"/>
    <w:uiPriority w:val="6"/>
    <w:qFormat/>
    <w:rsid w:val="00232697"/>
    <w:pPr>
      <w:numPr>
        <w:ilvl w:val="5"/>
        <w:numId w:val="1"/>
      </w:numPr>
      <w:spacing w:after="240" w:line="264" w:lineRule="auto"/>
    </w:pPr>
    <w:rPr>
      <w:rFonts w:ascii="Verdana" w:eastAsia="MS Mincho" w:hAnsi="Verdana" w:cs="Times New Roman"/>
      <w:sz w:val="20"/>
      <w:szCs w:val="20"/>
      <w:lang w:val="en-GB" w:eastAsia="en-GB"/>
    </w:rPr>
  </w:style>
  <w:style w:type="paragraph" w:customStyle="1" w:styleId="FCASub-Indentiiiiii">
    <w:name w:val="FCA Sub-Indent i_ii_iii"/>
    <w:uiPriority w:val="6"/>
    <w:qFormat/>
    <w:rsid w:val="00232697"/>
    <w:pPr>
      <w:numPr>
        <w:ilvl w:val="8"/>
        <w:numId w:val="1"/>
      </w:numPr>
      <w:tabs>
        <w:tab w:val="clear" w:pos="2115"/>
        <w:tab w:val="num" w:pos="360"/>
      </w:tabs>
      <w:spacing w:after="240" w:line="264" w:lineRule="auto"/>
      <w:ind w:left="0" w:firstLine="0"/>
    </w:pPr>
    <w:rPr>
      <w:rFonts w:ascii="Verdana" w:eastAsia="MS Mincho" w:hAnsi="Verdana" w:cs="Times New Roman"/>
      <w:sz w:val="20"/>
      <w:szCs w:val="20"/>
      <w:lang w:val="en-GB" w:eastAsia="en-GB"/>
    </w:rPr>
  </w:style>
  <w:style w:type="paragraph" w:styleId="Paragrafoelenco">
    <w:name w:val="List Paragraph"/>
    <w:aliases w:val="Cell bullets"/>
    <w:basedOn w:val="Normale"/>
    <w:link w:val="ParagrafoelencoCarattere"/>
    <w:uiPriority w:val="1"/>
    <w:qFormat/>
    <w:rsid w:val="00232697"/>
    <w:pPr>
      <w:spacing w:after="240" w:line="264" w:lineRule="auto"/>
      <w:ind w:left="720"/>
      <w:contextualSpacing/>
    </w:pPr>
    <w:rPr>
      <w:rFonts w:ascii="Verdana" w:eastAsia="MS Mincho" w:hAnsi="Verdana" w:cs="Times New Roman"/>
      <w:sz w:val="20"/>
      <w:szCs w:val="20"/>
      <w:lang w:val="en-GB" w:eastAsia="en-GB"/>
    </w:rPr>
  </w:style>
  <w:style w:type="paragraph" w:customStyle="1" w:styleId="FCAHeadingLevel1">
    <w:name w:val="FCA Heading Level 1"/>
    <w:uiPriority w:val="4"/>
    <w:qFormat/>
    <w:rsid w:val="00232697"/>
    <w:pPr>
      <w:tabs>
        <w:tab w:val="left" w:pos="0"/>
      </w:tabs>
      <w:spacing w:before="480" w:after="240" w:line="264" w:lineRule="auto"/>
    </w:pPr>
    <w:rPr>
      <w:rFonts w:ascii="Verdana" w:eastAsia="Times New Roman" w:hAnsi="Verdana" w:cs="Times New Roman"/>
      <w:b/>
      <w:bCs/>
      <w:sz w:val="24"/>
      <w:szCs w:val="24"/>
      <w:lang w:val="en-GB"/>
    </w:rPr>
  </w:style>
  <w:style w:type="paragraph" w:styleId="Testonotaapidipagina">
    <w:name w:val="footnote text"/>
    <w:aliases w:val="Testo_note,Testo_note1,Testo_note2,Carattere Carattere,Carattere Carattere Carattere,FSR footnote,Footnote,Fußnote,lábléc,Footnote Text Char Char,Testo nota a piè di pagina Carattere2 Carattere, Carattere Carattere Carattere"/>
    <w:basedOn w:val="Normale"/>
    <w:link w:val="TestonotaapidipaginaCarattere"/>
    <w:uiPriority w:val="99"/>
    <w:qFormat/>
    <w:rsid w:val="00232697"/>
    <w:pPr>
      <w:spacing w:after="0" w:line="264" w:lineRule="auto"/>
    </w:pPr>
    <w:rPr>
      <w:rFonts w:ascii="Verdana" w:eastAsia="MS Mincho" w:hAnsi="Verdana" w:cs="Times New Roman"/>
      <w:sz w:val="20"/>
      <w:szCs w:val="20"/>
      <w:lang w:val="en-GB" w:eastAsia="en-GB"/>
    </w:rPr>
  </w:style>
  <w:style w:type="character" w:customStyle="1" w:styleId="TestonotaapidipaginaCarattere">
    <w:name w:val="Testo nota a piè di pagina Carattere"/>
    <w:aliases w:val="Testo_note Carattere,Testo_note1 Carattere,Testo_note2 Carattere,Carattere Carattere Carattere1,Carattere Carattere Carattere Carattere,FSR footnote Carattere,Footnote Carattere,Fußnote Carattere,lábléc Carattere"/>
    <w:basedOn w:val="Carpredefinitoparagrafo"/>
    <w:link w:val="Testonotaapidipagina"/>
    <w:uiPriority w:val="99"/>
    <w:rsid w:val="00232697"/>
    <w:rPr>
      <w:rFonts w:ascii="Verdana" w:eastAsia="MS Mincho" w:hAnsi="Verdana" w:cs="Times New Roman"/>
      <w:sz w:val="20"/>
      <w:szCs w:val="20"/>
      <w:lang w:val="en-GB" w:eastAsia="en-GB"/>
    </w:rPr>
  </w:style>
  <w:style w:type="character" w:styleId="Rimandonotaapidipagina">
    <w:name w:val="footnote reference"/>
    <w:basedOn w:val="Carpredefinitoparagrafo"/>
    <w:uiPriority w:val="99"/>
    <w:semiHidden/>
    <w:rsid w:val="00232697"/>
    <w:rPr>
      <w:vertAlign w:val="superscript"/>
    </w:rPr>
  </w:style>
  <w:style w:type="character" w:styleId="Rimandocommento">
    <w:name w:val="annotation reference"/>
    <w:basedOn w:val="Carpredefinitoparagrafo"/>
    <w:uiPriority w:val="99"/>
    <w:semiHidden/>
    <w:rsid w:val="00232697"/>
    <w:rPr>
      <w:sz w:val="16"/>
      <w:szCs w:val="16"/>
    </w:rPr>
  </w:style>
  <w:style w:type="paragraph" w:styleId="Testocommento">
    <w:name w:val="annotation text"/>
    <w:basedOn w:val="Normale"/>
    <w:link w:val="TestocommentoCarattere"/>
    <w:uiPriority w:val="99"/>
    <w:rsid w:val="00232697"/>
    <w:pPr>
      <w:spacing w:after="200" w:line="240" w:lineRule="auto"/>
    </w:pPr>
    <w:rPr>
      <w:sz w:val="20"/>
      <w:szCs w:val="20"/>
      <w:lang w:val="en-GB"/>
    </w:rPr>
  </w:style>
  <w:style w:type="character" w:customStyle="1" w:styleId="TestocommentoCarattere">
    <w:name w:val="Testo commento Carattere"/>
    <w:basedOn w:val="Carpredefinitoparagrafo"/>
    <w:link w:val="Testocommento"/>
    <w:uiPriority w:val="99"/>
    <w:rsid w:val="00232697"/>
    <w:rPr>
      <w:sz w:val="20"/>
      <w:szCs w:val="20"/>
      <w:lang w:val="en-GB"/>
    </w:rPr>
  </w:style>
  <w:style w:type="character" w:customStyle="1" w:styleId="ParagrafoelencoCarattere">
    <w:name w:val="Paragrafo elenco Carattere"/>
    <w:aliases w:val="Cell bullets Carattere"/>
    <w:basedOn w:val="Carpredefinitoparagrafo"/>
    <w:link w:val="Paragrafoelenco"/>
    <w:uiPriority w:val="1"/>
    <w:rsid w:val="00232697"/>
    <w:rPr>
      <w:rFonts w:ascii="Verdana" w:eastAsia="MS Mincho" w:hAnsi="Verdana" w:cs="Times New Roman"/>
      <w:sz w:val="20"/>
      <w:szCs w:val="20"/>
      <w:lang w:val="en-GB" w:eastAsia="en-GB"/>
    </w:rPr>
  </w:style>
  <w:style w:type="paragraph" w:customStyle="1" w:styleId="Default">
    <w:name w:val="Default"/>
    <w:rsid w:val="00232697"/>
    <w:pPr>
      <w:autoSpaceDE w:val="0"/>
      <w:autoSpaceDN w:val="0"/>
      <w:adjustRightInd w:val="0"/>
      <w:spacing w:after="0" w:line="240" w:lineRule="auto"/>
    </w:pPr>
    <w:rPr>
      <w:rFonts w:ascii="EUAlbertina" w:eastAsia="MS Mincho" w:hAnsi="EUAlbertina" w:cs="EUAlbertina"/>
      <w:color w:val="000000"/>
      <w:sz w:val="24"/>
      <w:szCs w:val="24"/>
      <w:lang w:eastAsia="en-GB"/>
    </w:rPr>
  </w:style>
  <w:style w:type="paragraph" w:styleId="Testofumetto">
    <w:name w:val="Balloon Text"/>
    <w:basedOn w:val="Normale"/>
    <w:link w:val="TestofumettoCarattere"/>
    <w:uiPriority w:val="99"/>
    <w:semiHidden/>
    <w:unhideWhenUsed/>
    <w:rsid w:val="00232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2697"/>
    <w:rPr>
      <w:rFonts w:ascii="Segoe UI" w:hAnsi="Segoe UI" w:cs="Segoe UI"/>
      <w:sz w:val="18"/>
      <w:szCs w:val="18"/>
    </w:rPr>
  </w:style>
  <w:style w:type="paragraph" w:styleId="Revisione">
    <w:name w:val="Revision"/>
    <w:hidden/>
    <w:uiPriority w:val="99"/>
    <w:semiHidden/>
    <w:rsid w:val="008F14BB"/>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1C1AC6"/>
    <w:pPr>
      <w:spacing w:after="160"/>
    </w:pPr>
    <w:rPr>
      <w:b/>
      <w:bCs/>
      <w:lang w:val="it-IT"/>
    </w:rPr>
  </w:style>
  <w:style w:type="character" w:customStyle="1" w:styleId="SoggettocommentoCarattere">
    <w:name w:val="Soggetto commento Carattere"/>
    <w:basedOn w:val="TestocommentoCarattere"/>
    <w:link w:val="Soggettocommento"/>
    <w:uiPriority w:val="99"/>
    <w:semiHidden/>
    <w:rsid w:val="001C1AC6"/>
    <w:rPr>
      <w:b/>
      <w:bCs/>
      <w:sz w:val="20"/>
      <w:szCs w:val="20"/>
      <w:lang w:val="en-GB"/>
    </w:rPr>
  </w:style>
  <w:style w:type="character" w:styleId="Collegamentoipertestuale">
    <w:name w:val="Hyperlink"/>
    <w:basedOn w:val="Carpredefinitoparagrafo"/>
    <w:uiPriority w:val="99"/>
    <w:unhideWhenUsed/>
    <w:rsid w:val="00AA0644"/>
    <w:rPr>
      <w:color w:val="0563C1" w:themeColor="hyperlink"/>
      <w:u w:val="single"/>
    </w:rPr>
  </w:style>
  <w:style w:type="character" w:customStyle="1" w:styleId="Menzionenonrisolta1">
    <w:name w:val="Menzione non risolta1"/>
    <w:basedOn w:val="Carpredefinitoparagrafo"/>
    <w:uiPriority w:val="99"/>
    <w:semiHidden/>
    <w:unhideWhenUsed/>
    <w:rsid w:val="00AA0644"/>
    <w:rPr>
      <w:color w:val="605E5C"/>
      <w:shd w:val="clear" w:color="auto" w:fill="E1DFDD"/>
    </w:rPr>
  </w:style>
  <w:style w:type="table" w:styleId="Grigliatabella">
    <w:name w:val="Table Grid"/>
    <w:basedOn w:val="Tabellanormale"/>
    <w:uiPriority w:val="39"/>
    <w:rsid w:val="00D1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8A050E"/>
    <w:rPr>
      <w:rFonts w:ascii="EU Albertina" w:eastAsiaTheme="minorHAnsi" w:hAnsi="EU Albertina" w:cstheme="minorBidi"/>
      <w:color w:val="auto"/>
      <w:lang w:eastAsia="en-US"/>
    </w:rPr>
  </w:style>
  <w:style w:type="paragraph" w:customStyle="1" w:styleId="ElencopuntatoBankittabellamoduloCASP">
    <w:name w:val="Elenco puntato Bankit tabella modulo CASP"/>
    <w:basedOn w:val="Paragrafoelenco"/>
    <w:link w:val="ElencopuntatoBankittabellamoduloCASPCarattere"/>
    <w:rsid w:val="005F28F6"/>
    <w:pPr>
      <w:framePr w:hSpace="141" w:wrap="around" w:vAnchor="text" w:hAnchor="margin" w:y="1107"/>
      <w:numPr>
        <w:numId w:val="22"/>
      </w:numPr>
      <w:spacing w:after="0" w:line="240" w:lineRule="auto"/>
      <w:contextualSpacing w:val="0"/>
      <w:jc w:val="both"/>
    </w:pPr>
    <w:rPr>
      <w:rFonts w:ascii="Times New Roman" w:hAnsi="Times New Roman"/>
      <w:i/>
      <w:color w:val="2E74B5" w:themeColor="accent1" w:themeShade="BF"/>
      <w:lang w:val="it-IT"/>
    </w:rPr>
  </w:style>
  <w:style w:type="character" w:customStyle="1" w:styleId="ElencopuntatoBankittabellamoduloCASPCarattere">
    <w:name w:val="Elenco puntato Bankit tabella modulo CASP Carattere"/>
    <w:basedOn w:val="ParagrafoelencoCarattere"/>
    <w:link w:val="ElencopuntatoBankittabellamoduloCASP"/>
    <w:rsid w:val="005F28F6"/>
    <w:rPr>
      <w:rFonts w:ascii="Times New Roman" w:eastAsia="MS Mincho" w:hAnsi="Times New Roman" w:cs="Times New Roman"/>
      <w:i/>
      <w:color w:val="2E74B5" w:themeColor="accent1" w:themeShade="BF"/>
      <w:sz w:val="20"/>
      <w:szCs w:val="20"/>
      <w:lang w:val="en-GB" w:eastAsia="en-GB"/>
    </w:rPr>
  </w:style>
  <w:style w:type="table" w:styleId="Tabellagriglia1chiara-colore1">
    <w:name w:val="Grid Table 1 Light Accent 1"/>
    <w:basedOn w:val="Tabellanormale"/>
    <w:uiPriority w:val="46"/>
    <w:rsid w:val="004F2E4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essunaspaziatura">
    <w:name w:val="No Spacing"/>
    <w:link w:val="NessunaspaziaturaCarattere"/>
    <w:uiPriority w:val="1"/>
    <w:qFormat/>
    <w:rsid w:val="000361E8"/>
    <w:pPr>
      <w:spacing w:after="0" w:line="240" w:lineRule="auto"/>
    </w:pPr>
  </w:style>
  <w:style w:type="paragraph" w:customStyle="1" w:styleId="Elencopuntato">
    <w:name w:val="Elenco puntato"/>
    <w:basedOn w:val="Paragrafoelenco"/>
    <w:link w:val="ElencopuntatoCarattere"/>
    <w:qFormat/>
    <w:rsid w:val="000361E8"/>
    <w:pPr>
      <w:framePr w:hSpace="141" w:wrap="around" w:vAnchor="text" w:hAnchor="margin" w:y="1107"/>
      <w:numPr>
        <w:numId w:val="21"/>
      </w:numPr>
      <w:spacing w:after="0" w:line="240" w:lineRule="auto"/>
      <w:contextualSpacing w:val="0"/>
      <w:jc w:val="both"/>
    </w:pPr>
    <w:rPr>
      <w:rFonts w:ascii="Times New Roman" w:hAnsi="Times New Roman"/>
      <w:i/>
      <w:color w:val="2E74B5" w:themeColor="accent1" w:themeShade="BF"/>
      <w:lang w:val="it-IT"/>
    </w:rPr>
  </w:style>
  <w:style w:type="character" w:customStyle="1" w:styleId="ElencopuntatoCarattere">
    <w:name w:val="Elenco puntato Carattere"/>
    <w:basedOn w:val="ParagrafoelencoCarattere"/>
    <w:link w:val="Elencopuntato"/>
    <w:rsid w:val="000361E8"/>
    <w:rPr>
      <w:rFonts w:ascii="Times New Roman" w:eastAsia="MS Mincho" w:hAnsi="Times New Roman" w:cs="Times New Roman"/>
      <w:i/>
      <w:color w:val="2E74B5" w:themeColor="accent1" w:themeShade="BF"/>
      <w:sz w:val="20"/>
      <w:szCs w:val="20"/>
      <w:lang w:val="en-GB" w:eastAsia="en-GB"/>
    </w:rPr>
  </w:style>
  <w:style w:type="character" w:customStyle="1" w:styleId="NessunaspaziaturaCarattere">
    <w:name w:val="Nessuna spaziatura Carattere"/>
    <w:basedOn w:val="Carpredefinitoparagrafo"/>
    <w:link w:val="Nessunaspaziatura"/>
    <w:uiPriority w:val="1"/>
    <w:rsid w:val="00143D91"/>
  </w:style>
  <w:style w:type="character" w:customStyle="1" w:styleId="Titolo1Carattere">
    <w:name w:val="Titolo 1 Carattere"/>
    <w:basedOn w:val="Carpredefinitoparagrafo"/>
    <w:link w:val="Titolo1"/>
    <w:uiPriority w:val="9"/>
    <w:rsid w:val="0080544D"/>
    <w:rPr>
      <w:rFonts w:asciiTheme="majorHAnsi" w:eastAsiaTheme="majorEastAsia" w:hAnsiTheme="majorHAnsi" w:cstheme="majorBidi"/>
      <w:color w:val="2E74B5" w:themeColor="accent1" w:themeShade="BF"/>
      <w:sz w:val="32"/>
      <w:szCs w:val="32"/>
    </w:rPr>
  </w:style>
  <w:style w:type="character" w:customStyle="1" w:styleId="Menzionenonrisolta2">
    <w:name w:val="Menzione non risolta2"/>
    <w:basedOn w:val="Carpredefinitoparagrafo"/>
    <w:uiPriority w:val="99"/>
    <w:semiHidden/>
    <w:unhideWhenUsed/>
    <w:rsid w:val="00F944D4"/>
    <w:rPr>
      <w:color w:val="605E5C"/>
      <w:shd w:val="clear" w:color="auto" w:fill="E1DFDD"/>
    </w:rPr>
  </w:style>
  <w:style w:type="character" w:styleId="Collegamentovisitato">
    <w:name w:val="FollowedHyperlink"/>
    <w:basedOn w:val="Carpredefinitoparagrafo"/>
    <w:uiPriority w:val="99"/>
    <w:semiHidden/>
    <w:unhideWhenUsed/>
    <w:rsid w:val="00F944D4"/>
    <w:rPr>
      <w:color w:val="954F72" w:themeColor="followedHyperlink"/>
      <w:u w:val="single"/>
    </w:rPr>
  </w:style>
  <w:style w:type="character" w:customStyle="1" w:styleId="Menzionenonrisolta3">
    <w:name w:val="Menzione non risolta3"/>
    <w:basedOn w:val="Carpredefinitoparagrafo"/>
    <w:uiPriority w:val="99"/>
    <w:semiHidden/>
    <w:unhideWhenUsed/>
    <w:rsid w:val="00DF79F9"/>
    <w:rPr>
      <w:color w:val="605E5C"/>
      <w:shd w:val="clear" w:color="auto" w:fill="E1DFDD"/>
    </w:rPr>
  </w:style>
  <w:style w:type="character" w:styleId="Menzionenonrisolta">
    <w:name w:val="Unresolved Mention"/>
    <w:basedOn w:val="Carpredefinitoparagrafo"/>
    <w:uiPriority w:val="99"/>
    <w:semiHidden/>
    <w:unhideWhenUsed/>
    <w:rsid w:val="003A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781">
      <w:bodyDiv w:val="1"/>
      <w:marLeft w:val="0"/>
      <w:marRight w:val="0"/>
      <w:marTop w:val="0"/>
      <w:marBottom w:val="0"/>
      <w:divBdr>
        <w:top w:val="none" w:sz="0" w:space="0" w:color="auto"/>
        <w:left w:val="none" w:sz="0" w:space="0" w:color="auto"/>
        <w:bottom w:val="none" w:sz="0" w:space="0" w:color="auto"/>
        <w:right w:val="none" w:sz="0" w:space="0" w:color="auto"/>
      </w:divBdr>
    </w:div>
    <w:div w:id="84809289">
      <w:bodyDiv w:val="1"/>
      <w:marLeft w:val="0"/>
      <w:marRight w:val="0"/>
      <w:marTop w:val="0"/>
      <w:marBottom w:val="0"/>
      <w:divBdr>
        <w:top w:val="none" w:sz="0" w:space="0" w:color="auto"/>
        <w:left w:val="none" w:sz="0" w:space="0" w:color="auto"/>
        <w:bottom w:val="none" w:sz="0" w:space="0" w:color="auto"/>
        <w:right w:val="none" w:sz="0" w:space="0" w:color="auto"/>
      </w:divBdr>
    </w:div>
    <w:div w:id="259222876">
      <w:bodyDiv w:val="1"/>
      <w:marLeft w:val="0"/>
      <w:marRight w:val="0"/>
      <w:marTop w:val="0"/>
      <w:marBottom w:val="0"/>
      <w:divBdr>
        <w:top w:val="none" w:sz="0" w:space="0" w:color="auto"/>
        <w:left w:val="none" w:sz="0" w:space="0" w:color="auto"/>
        <w:bottom w:val="none" w:sz="0" w:space="0" w:color="auto"/>
        <w:right w:val="none" w:sz="0" w:space="0" w:color="auto"/>
      </w:divBdr>
    </w:div>
    <w:div w:id="390547137">
      <w:bodyDiv w:val="1"/>
      <w:marLeft w:val="0"/>
      <w:marRight w:val="0"/>
      <w:marTop w:val="0"/>
      <w:marBottom w:val="0"/>
      <w:divBdr>
        <w:top w:val="none" w:sz="0" w:space="0" w:color="auto"/>
        <w:left w:val="none" w:sz="0" w:space="0" w:color="auto"/>
        <w:bottom w:val="none" w:sz="0" w:space="0" w:color="auto"/>
        <w:right w:val="none" w:sz="0" w:space="0" w:color="auto"/>
      </w:divBdr>
    </w:div>
    <w:div w:id="468595031">
      <w:bodyDiv w:val="1"/>
      <w:marLeft w:val="0"/>
      <w:marRight w:val="0"/>
      <w:marTop w:val="0"/>
      <w:marBottom w:val="0"/>
      <w:divBdr>
        <w:top w:val="none" w:sz="0" w:space="0" w:color="auto"/>
        <w:left w:val="none" w:sz="0" w:space="0" w:color="auto"/>
        <w:bottom w:val="none" w:sz="0" w:space="0" w:color="auto"/>
        <w:right w:val="none" w:sz="0" w:space="0" w:color="auto"/>
      </w:divBdr>
    </w:div>
    <w:div w:id="652564750">
      <w:bodyDiv w:val="1"/>
      <w:marLeft w:val="0"/>
      <w:marRight w:val="0"/>
      <w:marTop w:val="0"/>
      <w:marBottom w:val="0"/>
      <w:divBdr>
        <w:top w:val="none" w:sz="0" w:space="0" w:color="auto"/>
        <w:left w:val="none" w:sz="0" w:space="0" w:color="auto"/>
        <w:bottom w:val="none" w:sz="0" w:space="0" w:color="auto"/>
        <w:right w:val="none" w:sz="0" w:space="0" w:color="auto"/>
      </w:divBdr>
      <w:divsChild>
        <w:div w:id="1739939552">
          <w:marLeft w:val="0"/>
          <w:marRight w:val="0"/>
          <w:marTop w:val="0"/>
          <w:marBottom w:val="0"/>
          <w:divBdr>
            <w:top w:val="none" w:sz="0" w:space="0" w:color="auto"/>
            <w:left w:val="none" w:sz="0" w:space="0" w:color="auto"/>
            <w:bottom w:val="none" w:sz="0" w:space="0" w:color="auto"/>
            <w:right w:val="none" w:sz="0" w:space="0" w:color="auto"/>
          </w:divBdr>
          <w:divsChild>
            <w:div w:id="852885848">
              <w:marLeft w:val="0"/>
              <w:marRight w:val="0"/>
              <w:marTop w:val="0"/>
              <w:marBottom w:val="0"/>
              <w:divBdr>
                <w:top w:val="none" w:sz="0" w:space="0" w:color="auto"/>
                <w:left w:val="none" w:sz="0" w:space="0" w:color="auto"/>
                <w:bottom w:val="none" w:sz="0" w:space="0" w:color="auto"/>
                <w:right w:val="none" w:sz="0" w:space="0" w:color="auto"/>
              </w:divBdr>
            </w:div>
            <w:div w:id="132673712">
              <w:marLeft w:val="0"/>
              <w:marRight w:val="0"/>
              <w:marTop w:val="0"/>
              <w:marBottom w:val="0"/>
              <w:divBdr>
                <w:top w:val="none" w:sz="0" w:space="0" w:color="auto"/>
                <w:left w:val="none" w:sz="0" w:space="0" w:color="auto"/>
                <w:bottom w:val="none" w:sz="0" w:space="0" w:color="auto"/>
                <w:right w:val="none" w:sz="0" w:space="0" w:color="auto"/>
              </w:divBdr>
            </w:div>
            <w:div w:id="289435064">
              <w:marLeft w:val="0"/>
              <w:marRight w:val="0"/>
              <w:marTop w:val="0"/>
              <w:marBottom w:val="0"/>
              <w:divBdr>
                <w:top w:val="none" w:sz="0" w:space="0" w:color="auto"/>
                <w:left w:val="none" w:sz="0" w:space="0" w:color="auto"/>
                <w:bottom w:val="none" w:sz="0" w:space="0" w:color="auto"/>
                <w:right w:val="none" w:sz="0" w:space="0" w:color="auto"/>
              </w:divBdr>
              <w:divsChild>
                <w:div w:id="872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724">
          <w:marLeft w:val="0"/>
          <w:marRight w:val="0"/>
          <w:marTop w:val="0"/>
          <w:marBottom w:val="0"/>
          <w:divBdr>
            <w:top w:val="none" w:sz="0" w:space="0" w:color="auto"/>
            <w:left w:val="none" w:sz="0" w:space="0" w:color="auto"/>
            <w:bottom w:val="none" w:sz="0" w:space="0" w:color="auto"/>
            <w:right w:val="none" w:sz="0" w:space="0" w:color="auto"/>
          </w:divBdr>
          <w:divsChild>
            <w:div w:id="1022705732">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sChild>
                    <w:div w:id="15824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45457">
      <w:bodyDiv w:val="1"/>
      <w:marLeft w:val="0"/>
      <w:marRight w:val="0"/>
      <w:marTop w:val="0"/>
      <w:marBottom w:val="0"/>
      <w:divBdr>
        <w:top w:val="none" w:sz="0" w:space="0" w:color="auto"/>
        <w:left w:val="none" w:sz="0" w:space="0" w:color="auto"/>
        <w:bottom w:val="none" w:sz="0" w:space="0" w:color="auto"/>
        <w:right w:val="none" w:sz="0" w:space="0" w:color="auto"/>
      </w:divBdr>
    </w:div>
    <w:div w:id="992177098">
      <w:bodyDiv w:val="1"/>
      <w:marLeft w:val="0"/>
      <w:marRight w:val="0"/>
      <w:marTop w:val="0"/>
      <w:marBottom w:val="0"/>
      <w:divBdr>
        <w:top w:val="none" w:sz="0" w:space="0" w:color="auto"/>
        <w:left w:val="none" w:sz="0" w:space="0" w:color="auto"/>
        <w:bottom w:val="none" w:sz="0" w:space="0" w:color="auto"/>
        <w:right w:val="none" w:sz="0" w:space="0" w:color="auto"/>
      </w:divBdr>
    </w:div>
    <w:div w:id="1008756500">
      <w:bodyDiv w:val="1"/>
      <w:marLeft w:val="0"/>
      <w:marRight w:val="0"/>
      <w:marTop w:val="0"/>
      <w:marBottom w:val="0"/>
      <w:divBdr>
        <w:top w:val="none" w:sz="0" w:space="0" w:color="auto"/>
        <w:left w:val="none" w:sz="0" w:space="0" w:color="auto"/>
        <w:bottom w:val="none" w:sz="0" w:space="0" w:color="auto"/>
        <w:right w:val="none" w:sz="0" w:space="0" w:color="auto"/>
      </w:divBdr>
    </w:div>
    <w:div w:id="1258252400">
      <w:bodyDiv w:val="1"/>
      <w:marLeft w:val="0"/>
      <w:marRight w:val="0"/>
      <w:marTop w:val="0"/>
      <w:marBottom w:val="0"/>
      <w:divBdr>
        <w:top w:val="none" w:sz="0" w:space="0" w:color="auto"/>
        <w:left w:val="none" w:sz="0" w:space="0" w:color="auto"/>
        <w:bottom w:val="none" w:sz="0" w:space="0" w:color="auto"/>
        <w:right w:val="none" w:sz="0" w:space="0" w:color="auto"/>
      </w:divBdr>
    </w:div>
    <w:div w:id="1389108363">
      <w:bodyDiv w:val="1"/>
      <w:marLeft w:val="0"/>
      <w:marRight w:val="0"/>
      <w:marTop w:val="0"/>
      <w:marBottom w:val="0"/>
      <w:divBdr>
        <w:top w:val="none" w:sz="0" w:space="0" w:color="auto"/>
        <w:left w:val="none" w:sz="0" w:space="0" w:color="auto"/>
        <w:bottom w:val="none" w:sz="0" w:space="0" w:color="auto"/>
        <w:right w:val="none" w:sz="0" w:space="0" w:color="auto"/>
      </w:divBdr>
    </w:div>
    <w:div w:id="1718577840">
      <w:bodyDiv w:val="1"/>
      <w:marLeft w:val="0"/>
      <w:marRight w:val="0"/>
      <w:marTop w:val="0"/>
      <w:marBottom w:val="0"/>
      <w:divBdr>
        <w:top w:val="none" w:sz="0" w:space="0" w:color="auto"/>
        <w:left w:val="none" w:sz="0" w:space="0" w:color="auto"/>
        <w:bottom w:val="none" w:sz="0" w:space="0" w:color="auto"/>
        <w:right w:val="none" w:sz="0" w:space="0" w:color="auto"/>
      </w:divBdr>
      <w:divsChild>
        <w:div w:id="420830818">
          <w:marLeft w:val="0"/>
          <w:marRight w:val="0"/>
          <w:marTop w:val="0"/>
          <w:marBottom w:val="0"/>
          <w:divBdr>
            <w:top w:val="none" w:sz="0" w:space="0" w:color="auto"/>
            <w:left w:val="none" w:sz="0" w:space="0" w:color="auto"/>
            <w:bottom w:val="none" w:sz="0" w:space="0" w:color="auto"/>
            <w:right w:val="none" w:sz="0" w:space="0" w:color="auto"/>
          </w:divBdr>
          <w:divsChild>
            <w:div w:id="1394428668">
              <w:marLeft w:val="0"/>
              <w:marRight w:val="0"/>
              <w:marTop w:val="0"/>
              <w:marBottom w:val="0"/>
              <w:divBdr>
                <w:top w:val="none" w:sz="0" w:space="0" w:color="auto"/>
                <w:left w:val="none" w:sz="0" w:space="0" w:color="auto"/>
                <w:bottom w:val="none" w:sz="0" w:space="0" w:color="auto"/>
                <w:right w:val="none" w:sz="0" w:space="0" w:color="auto"/>
              </w:divBdr>
            </w:div>
            <w:div w:id="1245607538">
              <w:marLeft w:val="0"/>
              <w:marRight w:val="0"/>
              <w:marTop w:val="0"/>
              <w:marBottom w:val="0"/>
              <w:divBdr>
                <w:top w:val="none" w:sz="0" w:space="0" w:color="auto"/>
                <w:left w:val="none" w:sz="0" w:space="0" w:color="auto"/>
                <w:bottom w:val="none" w:sz="0" w:space="0" w:color="auto"/>
                <w:right w:val="none" w:sz="0" w:space="0" w:color="auto"/>
              </w:divBdr>
            </w:div>
            <w:div w:id="2028405017">
              <w:marLeft w:val="0"/>
              <w:marRight w:val="0"/>
              <w:marTop w:val="0"/>
              <w:marBottom w:val="0"/>
              <w:divBdr>
                <w:top w:val="none" w:sz="0" w:space="0" w:color="auto"/>
                <w:left w:val="none" w:sz="0" w:space="0" w:color="auto"/>
                <w:bottom w:val="none" w:sz="0" w:space="0" w:color="auto"/>
                <w:right w:val="none" w:sz="0" w:space="0" w:color="auto"/>
              </w:divBdr>
              <w:divsChild>
                <w:div w:id="4174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0495">
          <w:marLeft w:val="0"/>
          <w:marRight w:val="0"/>
          <w:marTop w:val="0"/>
          <w:marBottom w:val="0"/>
          <w:divBdr>
            <w:top w:val="none" w:sz="0" w:space="0" w:color="auto"/>
            <w:left w:val="none" w:sz="0" w:space="0" w:color="auto"/>
            <w:bottom w:val="none" w:sz="0" w:space="0" w:color="auto"/>
            <w:right w:val="none" w:sz="0" w:space="0" w:color="auto"/>
          </w:divBdr>
          <w:divsChild>
            <w:div w:id="1171141384">
              <w:marLeft w:val="0"/>
              <w:marRight w:val="0"/>
              <w:marTop w:val="0"/>
              <w:marBottom w:val="0"/>
              <w:divBdr>
                <w:top w:val="none" w:sz="0" w:space="0" w:color="auto"/>
                <w:left w:val="none" w:sz="0" w:space="0" w:color="auto"/>
                <w:bottom w:val="none" w:sz="0" w:space="0" w:color="auto"/>
                <w:right w:val="none" w:sz="0" w:space="0" w:color="auto"/>
              </w:divBdr>
              <w:divsChild>
                <w:div w:id="1219128780">
                  <w:marLeft w:val="0"/>
                  <w:marRight w:val="0"/>
                  <w:marTop w:val="0"/>
                  <w:marBottom w:val="0"/>
                  <w:divBdr>
                    <w:top w:val="none" w:sz="0" w:space="0" w:color="auto"/>
                    <w:left w:val="none" w:sz="0" w:space="0" w:color="auto"/>
                    <w:bottom w:val="none" w:sz="0" w:space="0" w:color="auto"/>
                    <w:right w:val="none" w:sz="0" w:space="0" w:color="auto"/>
                  </w:divBdr>
                  <w:divsChild>
                    <w:div w:id="19242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33433">
      <w:bodyDiv w:val="1"/>
      <w:marLeft w:val="0"/>
      <w:marRight w:val="0"/>
      <w:marTop w:val="0"/>
      <w:marBottom w:val="0"/>
      <w:divBdr>
        <w:top w:val="none" w:sz="0" w:space="0" w:color="auto"/>
        <w:left w:val="none" w:sz="0" w:space="0" w:color="auto"/>
        <w:bottom w:val="none" w:sz="0" w:space="0" w:color="auto"/>
        <w:right w:val="none" w:sz="0" w:space="0" w:color="auto"/>
      </w:divBdr>
    </w:div>
    <w:div w:id="21299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ncaditalia.it/compiti/vigilanza/normativa/archivio-norme/disposizioni/assetti-propr-banche/Disposizioni_assetti.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F0A468F98684B4C95D9CAE5F70215EA" ma:contentTypeVersion="2" ma:contentTypeDescription="Creare un nuovo documento." ma:contentTypeScope="" ma:versionID="2d0e18eab5f18c525ecc0d563b32bb68">
  <xsd:schema xmlns:xsd="http://www.w3.org/2001/XMLSchema" xmlns:xs="http://www.w3.org/2001/XMLSchema" xmlns:p="http://schemas.microsoft.com/office/2006/metadata/properties" xmlns:ns2="9b60c21d-56f3-456a-9fea-0d88e3153c45" targetNamespace="http://schemas.microsoft.com/office/2006/metadata/properties" ma:root="true" ma:fieldsID="28d99b90ef03ce30887b426de783d0b9" ns2:_="">
    <xsd:import namespace="9b60c21d-56f3-456a-9fea-0d88e3153c4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0c21d-56f3-456a-9fea-0d88e3153c4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C970E-1E0A-4F53-A4F6-57F424CEA711}">
  <ds:schemaRefs>
    <ds:schemaRef ds:uri="http://schemas.microsoft.com/sharepoint/v3/contenttype/forms"/>
  </ds:schemaRefs>
</ds:datastoreItem>
</file>

<file path=customXml/itemProps2.xml><?xml version="1.0" encoding="utf-8"?>
<ds:datastoreItem xmlns:ds="http://schemas.openxmlformats.org/officeDocument/2006/customXml" ds:itemID="{AD47FB56-6AA8-46D5-B72C-753BDCC38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0c21d-56f3-456a-9fea-0d88e3153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60B2C-E16C-4545-B43A-53A9FC5B7D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B10AA5-61FF-4465-81EA-B03BA798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9837</Words>
  <Characters>56075</Characters>
  <Application>Microsoft Office Word</Application>
  <DocSecurity>0</DocSecurity>
  <Lines>467</Lines>
  <Paragraphs>131</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65781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CONSOB</dc:creator>
  <cp:keywords/>
  <dc:description/>
  <cp:lastModifiedBy>Joldes, Razvan</cp:lastModifiedBy>
  <cp:revision>4</cp:revision>
  <dcterms:created xsi:type="dcterms:W3CDTF">2025-10-23T16:17:00Z</dcterms:created>
  <dcterms:modified xsi:type="dcterms:W3CDTF">2025-10-27T09:02:00Z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0x010100BF0A468F98684B4C95D9CAE5F70215EA</vt:lpwstr>
  </property>
</Properties>
</file>